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0E" w:rsidRDefault="002C5821" w:rsidP="00052EE5">
      <w:pPr>
        <w:jc w:val="center"/>
        <w:rPr>
          <w:b/>
        </w:rPr>
      </w:pPr>
      <w:r w:rsidRPr="002C5821">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8.5pt;height:166.5pt" fillcolor="#0070c0" strokeweight="1.5pt">
            <v:shadow color="#868686"/>
            <v:textpath style="font-family:&quot;Arial Black&quot;;font-size:28pt;v-text-kern:t" trim="t" fitpath="t" string="DETERMINACIÓN&#10; DEL COEFICIENTE &#10;ADIABÁTICO&#10; DEL AIRE"/>
          </v:shape>
        </w:pict>
      </w:r>
    </w:p>
    <w:p w:rsidR="008F194B" w:rsidRDefault="008F194B" w:rsidP="00052EE5">
      <w:pPr>
        <w:jc w:val="center"/>
        <w:rPr>
          <w:b/>
          <w:sz w:val="28"/>
        </w:rPr>
      </w:pPr>
    </w:p>
    <w:p w:rsidR="00052EE5" w:rsidRDefault="008F194B" w:rsidP="00AF7E0E">
      <w:pPr>
        <w:jc w:val="center"/>
        <w:rPr>
          <w:b/>
        </w:rPr>
      </w:pPr>
      <w:r>
        <w:rPr>
          <w:b/>
          <w:noProof/>
          <w:sz w:val="28"/>
          <w:lang w:eastAsia="es-ES_tradnl"/>
        </w:rPr>
        <w:drawing>
          <wp:inline distT="0" distB="0" distL="0" distR="0">
            <wp:extent cx="3906043" cy="2533650"/>
            <wp:effectExtent l="19050" t="0" r="0" b="0"/>
            <wp:docPr id="9"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srcRect/>
                    <a:stretch>
                      <a:fillRect/>
                    </a:stretch>
                  </pic:blipFill>
                  <pic:spPr bwMode="auto">
                    <a:xfrm>
                      <a:off x="0" y="0"/>
                      <a:ext cx="3906043" cy="2533650"/>
                    </a:xfrm>
                    <a:prstGeom prst="rect">
                      <a:avLst/>
                    </a:prstGeom>
                    <a:noFill/>
                    <a:ln w="9525">
                      <a:noFill/>
                      <a:miter lim="800000"/>
                      <a:headEnd/>
                      <a:tailEnd/>
                    </a:ln>
                  </pic:spPr>
                </pic:pic>
              </a:graphicData>
            </a:graphic>
          </wp:inline>
        </w:drawing>
      </w:r>
    </w:p>
    <w:p w:rsidR="008F194B" w:rsidRDefault="008F194B" w:rsidP="00AF7E0E">
      <w:pPr>
        <w:jc w:val="center"/>
        <w:rPr>
          <w:b/>
        </w:rPr>
      </w:pPr>
    </w:p>
    <w:p w:rsidR="008F194B" w:rsidRDefault="008F194B" w:rsidP="00AF7E0E">
      <w:pPr>
        <w:jc w:val="center"/>
        <w:rPr>
          <w:b/>
        </w:rPr>
      </w:pPr>
    </w:p>
    <w:p w:rsidR="008F194B" w:rsidRDefault="002C5821" w:rsidP="001D7135">
      <w:pPr>
        <w:jc w:val="center"/>
        <w:rPr>
          <w:b/>
          <w:sz w:val="28"/>
        </w:rPr>
      </w:pPr>
      <w:r w:rsidRPr="002C5821">
        <w:rPr>
          <w:b/>
          <w:sz w:val="28"/>
        </w:rPr>
        <w:pict>
          <v:shape id="_x0000_i1026" type="#_x0000_t136" style="width:324pt;height:94.5pt" fillcolor="#0070c0" strokeweight="1.5pt">
            <v:shadow color="#868686"/>
            <v:textpath style="font-family:&quot;Arial Black&quot;;font-size:24pt;v-text-kern:t" trim="t" fitpath="t" string="MÉTODO DE&#10;CLEMENT-DESORMES"/>
          </v:shape>
        </w:pict>
      </w:r>
      <w:r w:rsidR="00052EE5">
        <w:rPr>
          <w:b/>
          <w:sz w:val="28"/>
        </w:rPr>
        <w:t xml:space="preserve">   </w:t>
      </w:r>
    </w:p>
    <w:p w:rsidR="00AF7E0E" w:rsidRDefault="00AF7E0E" w:rsidP="001D7135">
      <w:pPr>
        <w:jc w:val="center"/>
        <w:rPr>
          <w:b/>
          <w:sz w:val="28"/>
        </w:rPr>
      </w:pPr>
    </w:p>
    <w:p w:rsidR="001D7135" w:rsidRDefault="00052EE5" w:rsidP="008F194B">
      <w:pPr>
        <w:spacing w:after="120"/>
        <w:ind w:firstLine="3119"/>
        <w:rPr>
          <w:b/>
          <w:sz w:val="24"/>
        </w:rPr>
      </w:pPr>
      <w:r w:rsidRPr="00052EE5">
        <w:rPr>
          <w:b/>
          <w:sz w:val="24"/>
        </w:rPr>
        <w:t>JORGE ALEJANDRO BALLAT GONZÁLEZ (49898)</w:t>
      </w:r>
    </w:p>
    <w:p w:rsidR="00052EE5" w:rsidRDefault="008F194B" w:rsidP="008F194B">
      <w:pPr>
        <w:spacing w:after="120"/>
        <w:ind w:firstLine="3119"/>
        <w:rPr>
          <w:b/>
          <w:sz w:val="24"/>
        </w:rPr>
      </w:pPr>
      <w:r>
        <w:rPr>
          <w:b/>
          <w:sz w:val="24"/>
        </w:rPr>
        <w:t>JOSE ANTONIO ARESES AGUADO (43752)</w:t>
      </w:r>
    </w:p>
    <w:p w:rsidR="008F194B" w:rsidRDefault="008F194B" w:rsidP="008F194B">
      <w:pPr>
        <w:spacing w:after="120"/>
        <w:ind w:firstLine="3119"/>
        <w:rPr>
          <w:b/>
          <w:sz w:val="24"/>
        </w:rPr>
      </w:pPr>
      <w:r>
        <w:rPr>
          <w:b/>
          <w:sz w:val="24"/>
        </w:rPr>
        <w:t>CRISTINA ALMENDROS GARCÍA (MÁSTER ING.PROD.)</w:t>
      </w:r>
    </w:p>
    <w:p w:rsidR="008F194B" w:rsidRDefault="008F194B" w:rsidP="0033597A">
      <w:pPr>
        <w:rPr>
          <w:b/>
          <w:sz w:val="28"/>
        </w:rPr>
      </w:pPr>
    </w:p>
    <w:p w:rsidR="0033597A" w:rsidRDefault="0033597A" w:rsidP="0033597A">
      <w:pPr>
        <w:rPr>
          <w:b/>
          <w:sz w:val="28"/>
        </w:rPr>
      </w:pPr>
      <w:r w:rsidRPr="0033597A">
        <w:rPr>
          <w:b/>
          <w:sz w:val="28"/>
        </w:rPr>
        <w:lastRenderedPageBreak/>
        <w:t>OBJETIVOS</w:t>
      </w:r>
    </w:p>
    <w:p w:rsidR="00801016" w:rsidRDefault="0033597A" w:rsidP="00801016">
      <w:pPr>
        <w:ind w:firstLine="567"/>
      </w:pPr>
      <w:r w:rsidRPr="0033597A">
        <w:t>Medir la relación de los calores específicos</w:t>
      </w:r>
      <w:r>
        <w:t xml:space="preserve"> molares</w:t>
      </w:r>
      <w:r w:rsidRPr="0033597A">
        <w:t xml:space="preserve"> del aire a presión c</w:t>
      </w:r>
      <w:r>
        <w:t xml:space="preserve">onstante y volumen constante </w:t>
      </w:r>
      <w:r w:rsidRPr="0033597A">
        <w:t xml:space="preserve"> d</w:t>
      </w:r>
      <w:r w:rsidR="00801016">
        <w:t>e acuerdo al método de Clement-</w:t>
      </w:r>
      <w:r w:rsidRPr="0033597A">
        <w:t xml:space="preserve"> Desormes.</w:t>
      </w:r>
      <w:r w:rsidR="00801016" w:rsidRPr="00801016">
        <w:t xml:space="preserve"> </w:t>
      </w:r>
    </w:p>
    <w:p w:rsidR="00801016" w:rsidRPr="0033597A" w:rsidRDefault="00801016" w:rsidP="00801016">
      <w:pPr>
        <w:ind w:firstLine="567"/>
      </w:pPr>
      <w:r w:rsidRPr="0033597A">
        <w:t>Observar el efecto térmico en la expansión adiabática del aire</w:t>
      </w:r>
      <w:r>
        <w:t>.</w:t>
      </w:r>
    </w:p>
    <w:p w:rsidR="009E537C" w:rsidRDefault="009E537C" w:rsidP="009E537C">
      <w:pPr>
        <w:rPr>
          <w:b/>
          <w:sz w:val="28"/>
        </w:rPr>
      </w:pPr>
      <w:r>
        <w:rPr>
          <w:b/>
          <w:sz w:val="28"/>
        </w:rPr>
        <w:t>INTRODUCCIÓN</w:t>
      </w:r>
    </w:p>
    <w:p w:rsidR="00801016" w:rsidRDefault="00801016" w:rsidP="00801016">
      <w:pPr>
        <w:ind w:firstLine="567"/>
        <w:jc w:val="both"/>
      </w:pPr>
      <w:r>
        <w:t xml:space="preserve">El método de Clement-Desormes se basa en el enfriamiento de un gas cuando se expande según un proceso adiabático. </w:t>
      </w:r>
      <w:r w:rsidR="00EA442F">
        <w:t>En esta práctica hemos realizado expansiones bruscas, que se consideran adiabáticas por ser rápidas. El sistema no tiene tiempo para recibir el calor  equivalente al trabajo que realiza en la expansión. Según el Primer Principio de la Termodinámica, todo gas que se expande rápidamente en oposición a una fuerza exterior realiza trabajo a costa de su energía interna, enfriándose. Como la expansión se considera adiabática:</w:t>
      </w:r>
    </w:p>
    <w:p w:rsidR="00EA442F" w:rsidRDefault="00EA442F" w:rsidP="00801016">
      <w:pPr>
        <w:ind w:firstLine="567"/>
        <w:jc w:val="both"/>
        <w:rPr>
          <w:rFonts w:eastAsiaTheme="minorEastAsia"/>
        </w:rPr>
      </w:pPr>
      <m:oMathPara>
        <m:oMath>
          <m:r>
            <w:rPr>
              <w:rFonts w:ascii="Cambria Math" w:hAnsi="Cambria Math"/>
            </w:rPr>
            <m:t xml:space="preserve">dW=dQ-p·dV  </m:t>
          </m:r>
        </m:oMath>
      </m:oMathPara>
    </w:p>
    <w:p w:rsidR="00EA442F" w:rsidRDefault="00EA442F" w:rsidP="00801016">
      <w:pPr>
        <w:ind w:firstLine="567"/>
        <w:jc w:val="both"/>
        <w:rPr>
          <w:rFonts w:eastAsiaTheme="minorEastAsia"/>
        </w:rPr>
      </w:pPr>
      <w:r>
        <w:rPr>
          <w:rFonts w:eastAsiaTheme="minorEastAsia"/>
        </w:rPr>
        <w:t>Al ser adiabático:</w:t>
      </w:r>
    </w:p>
    <w:p w:rsidR="00EA442F" w:rsidRDefault="00EA442F" w:rsidP="00EA442F">
      <w:pPr>
        <w:ind w:firstLine="567"/>
        <w:jc w:val="both"/>
        <w:rPr>
          <w:rFonts w:eastAsiaTheme="minorEastAsia"/>
        </w:rPr>
      </w:pPr>
      <m:oMathPara>
        <m:oMath>
          <m:r>
            <w:rPr>
              <w:rFonts w:ascii="Cambria Math" w:hAnsi="Cambria Math"/>
            </w:rPr>
            <m:t>dQ=0  → dW =-</m:t>
          </m:r>
          <m:sSub>
            <m:sSubPr>
              <m:ctrlPr>
                <w:rPr>
                  <w:rFonts w:ascii="Cambria Math" w:hAnsi="Cambria Math"/>
                  <w:i/>
                </w:rPr>
              </m:ctrlPr>
            </m:sSubPr>
            <m:e>
              <m:r>
                <w:rPr>
                  <w:rFonts w:ascii="Cambria Math" w:hAnsi="Cambria Math"/>
                </w:rPr>
                <m:t>p</m:t>
              </m:r>
            </m:e>
            <m:sub>
              <m:r>
                <w:rPr>
                  <w:rFonts w:ascii="Cambria Math" w:hAnsi="Cambria Math"/>
                </w:rPr>
                <m:t>ext</m:t>
              </m:r>
            </m:sub>
          </m:sSub>
          <m:r>
            <w:rPr>
              <w:rFonts w:ascii="Cambria Math" w:hAnsi="Cambria Math"/>
            </w:rPr>
            <m:t xml:space="preserve">·dV  </m:t>
          </m:r>
        </m:oMath>
      </m:oMathPara>
    </w:p>
    <w:p w:rsidR="00EA442F" w:rsidRDefault="00EA442F" w:rsidP="00EA442F">
      <w:pPr>
        <w:ind w:firstLine="567"/>
        <w:jc w:val="both"/>
        <w:rPr>
          <w:rFonts w:eastAsiaTheme="minorEastAsia"/>
        </w:rPr>
      </w:pPr>
      <w:r>
        <w:rPr>
          <w:rFonts w:eastAsiaTheme="minorEastAsia"/>
        </w:rPr>
        <w:t>De la misma forma, al realizarse compresiones la temperatura del gas tiende a elevarse.</w:t>
      </w:r>
    </w:p>
    <w:p w:rsidR="00196901" w:rsidRDefault="00196901" w:rsidP="00EA442F">
      <w:pPr>
        <w:ind w:firstLine="567"/>
        <w:jc w:val="both"/>
        <w:rPr>
          <w:rFonts w:eastAsiaTheme="minorEastAsia"/>
        </w:rPr>
      </w:pPr>
    </w:p>
    <w:p w:rsidR="00EA442F" w:rsidRDefault="00EA442F" w:rsidP="00EA442F">
      <w:pPr>
        <w:ind w:firstLine="567"/>
        <w:jc w:val="both"/>
        <w:rPr>
          <w:rFonts w:eastAsiaTheme="minorEastAsia"/>
        </w:rPr>
      </w:pPr>
      <w:r>
        <w:rPr>
          <w:rFonts w:eastAsiaTheme="minorEastAsia"/>
        </w:rPr>
        <w:t>En el siguiente diagrama p</w:t>
      </w:r>
      <w:r w:rsidR="00196901">
        <w:rPr>
          <w:rFonts w:eastAsiaTheme="minorEastAsia"/>
        </w:rPr>
        <w:t>-V se representan las dos isotermas, T1 y T2. L</w:t>
      </w:r>
      <w:r>
        <w:rPr>
          <w:rFonts w:eastAsiaTheme="minorEastAsia"/>
        </w:rPr>
        <w:t xml:space="preserve">os procesos que </w:t>
      </w:r>
      <w:r w:rsidR="00196901">
        <w:rPr>
          <w:rFonts w:eastAsiaTheme="minorEastAsia"/>
        </w:rPr>
        <w:t>aparecen son</w:t>
      </w:r>
      <w:r>
        <w:rPr>
          <w:rFonts w:eastAsiaTheme="minorEastAsia"/>
        </w:rPr>
        <w:t>:</w:t>
      </w:r>
    </w:p>
    <w:p w:rsidR="00196901" w:rsidRDefault="00196901" w:rsidP="00EA442F">
      <w:pPr>
        <w:ind w:firstLine="567"/>
        <w:jc w:val="both"/>
        <w:rPr>
          <w:rFonts w:eastAsiaTheme="minorEastAsia"/>
        </w:rPr>
      </w:pPr>
      <w:r>
        <w:rPr>
          <w:rFonts w:eastAsiaTheme="minorEastAsia"/>
        </w:rPr>
        <w:t>De (1) a (2) Enfriamiento del gas por expansión adiabática reversible</w:t>
      </w:r>
    </w:p>
    <w:p w:rsidR="00196901" w:rsidRDefault="00196901" w:rsidP="00EA442F">
      <w:pPr>
        <w:ind w:firstLine="567"/>
        <w:jc w:val="both"/>
        <w:rPr>
          <w:rFonts w:eastAsiaTheme="minorEastAsia"/>
        </w:rPr>
      </w:pPr>
      <w:r>
        <w:rPr>
          <w:rFonts w:eastAsiaTheme="minorEastAsia"/>
        </w:rPr>
        <w:t>De (2) a (3) Calentamiento a volumen constante hasta alcanzar la temperatura inicial</w:t>
      </w:r>
    </w:p>
    <w:p w:rsidR="00EA442F" w:rsidRDefault="00EA442F" w:rsidP="00EA442F">
      <w:pPr>
        <w:ind w:firstLine="567"/>
        <w:jc w:val="center"/>
        <w:rPr>
          <w:rFonts w:eastAsiaTheme="minorEastAsia"/>
        </w:rPr>
      </w:pPr>
      <w:r w:rsidRPr="00EA442F">
        <w:rPr>
          <w:rFonts w:eastAsiaTheme="minorEastAsia"/>
          <w:noProof/>
          <w:lang w:eastAsia="es-ES_tradnl"/>
        </w:rPr>
        <w:drawing>
          <wp:inline distT="0" distB="0" distL="0" distR="0">
            <wp:extent cx="2924175" cy="1905000"/>
            <wp:effectExtent l="19050" t="0" r="9525" b="0"/>
            <wp:docPr id="1" name="Imagen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cstate="print"/>
                    <a:srcRect/>
                    <a:stretch>
                      <a:fillRect/>
                    </a:stretch>
                  </pic:blipFill>
                  <pic:spPr bwMode="auto">
                    <a:xfrm>
                      <a:off x="0" y="0"/>
                      <a:ext cx="2924175" cy="1905000"/>
                    </a:xfrm>
                    <a:prstGeom prst="rect">
                      <a:avLst/>
                    </a:prstGeom>
                    <a:noFill/>
                    <a:ln w="9525">
                      <a:noFill/>
                      <a:miter lim="800000"/>
                      <a:headEnd/>
                      <a:tailEnd/>
                    </a:ln>
                  </pic:spPr>
                </pic:pic>
              </a:graphicData>
            </a:graphic>
          </wp:inline>
        </w:drawing>
      </w:r>
    </w:p>
    <w:p w:rsidR="00EA442F" w:rsidRDefault="00196901" w:rsidP="00EA442F">
      <w:pPr>
        <w:ind w:firstLine="567"/>
        <w:jc w:val="both"/>
        <w:rPr>
          <w:rFonts w:eastAsiaTheme="minorEastAsia"/>
        </w:rPr>
      </w:pPr>
      <w:r>
        <w:rPr>
          <w:rFonts w:eastAsiaTheme="minorEastAsia"/>
        </w:rPr>
        <w:t>Cualquier estado definido por la terna de variables (</w:t>
      </w:r>
      <w:proofErr w:type="spellStart"/>
      <w:r>
        <w:rPr>
          <w:rFonts w:eastAsiaTheme="minorEastAsia"/>
        </w:rPr>
        <w:t>p</w:t>
      </w:r>
      <w:proofErr w:type="gramStart"/>
      <w:r>
        <w:rPr>
          <w:rFonts w:eastAsiaTheme="minorEastAsia"/>
        </w:rPr>
        <w:t>,V,T</w:t>
      </w:r>
      <w:proofErr w:type="spellEnd"/>
      <w:proofErr w:type="gramEnd"/>
      <w:r>
        <w:rPr>
          <w:rFonts w:eastAsiaTheme="minorEastAsia"/>
        </w:rPr>
        <w:t>) se puede relacionar con otro mediante la ecuación de estado del gas ideal. (P·V=</w:t>
      </w:r>
      <w:proofErr w:type="spellStart"/>
      <w:r>
        <w:rPr>
          <w:rFonts w:eastAsiaTheme="minorEastAsia"/>
        </w:rPr>
        <w:t>n·R</w:t>
      </w:r>
      <w:proofErr w:type="spellEnd"/>
      <w:r>
        <w:rPr>
          <w:rFonts w:eastAsiaTheme="minorEastAsia"/>
        </w:rPr>
        <w:t>/T)</w:t>
      </w:r>
    </w:p>
    <w:p w:rsidR="0043581F" w:rsidRDefault="0043581F" w:rsidP="00EA442F">
      <w:pPr>
        <w:ind w:firstLine="567"/>
        <w:jc w:val="both"/>
        <w:rPr>
          <w:rFonts w:eastAsiaTheme="minorEastAsia"/>
        </w:rPr>
      </w:pPr>
    </w:p>
    <w:p w:rsidR="00196901" w:rsidRPr="00196901" w:rsidRDefault="00196901" w:rsidP="00801016">
      <w:pPr>
        <w:ind w:firstLine="567"/>
        <w:jc w:val="both"/>
        <w:rPr>
          <w:b/>
        </w:rPr>
      </w:pPr>
      <w:r>
        <w:rPr>
          <w:b/>
        </w:rPr>
        <w:lastRenderedPageBreak/>
        <w:t>TRANSFORMACIÓN ISOTERMA</w:t>
      </w:r>
    </w:p>
    <w:p w:rsidR="00801016" w:rsidRDefault="00801016" w:rsidP="00801016">
      <w:pPr>
        <w:ind w:firstLine="567"/>
        <w:jc w:val="both"/>
      </w:pPr>
      <w:r>
        <w:t xml:space="preserve">La ley de </w:t>
      </w:r>
      <w:proofErr w:type="spellStart"/>
      <w:r>
        <w:t>Boyle</w:t>
      </w:r>
      <w:proofErr w:type="spellEnd"/>
      <w:r w:rsidRPr="00D94B83">
        <w:t xml:space="preserve"> afirma que el volumen de un gas a temperatura constante es inversa</w:t>
      </w:r>
      <w:r w:rsidR="00196901">
        <w:t>mente proporcional a su presión:</w:t>
      </w:r>
    </w:p>
    <w:p w:rsidR="00196901" w:rsidRPr="00D94B83" w:rsidRDefault="00196901" w:rsidP="00801016">
      <w:pPr>
        <w:ind w:firstLine="567"/>
        <w:jc w:val="both"/>
      </w:pPr>
      <m:oMathPara>
        <m:oMath>
          <m:r>
            <w:rPr>
              <w:rFonts w:ascii="Cambria Math" w:hAnsi="Cambria Math"/>
            </w:rPr>
            <m:t>p·V=k                     para T cte</m:t>
          </m:r>
        </m:oMath>
      </m:oMathPara>
    </w:p>
    <w:p w:rsidR="009E537C" w:rsidRDefault="00196901" w:rsidP="009E537C">
      <w:pPr>
        <w:ind w:firstLine="567"/>
      </w:pPr>
      <w:r>
        <w:t>La pendiente de una isoterma en un estado dado por las coordenadas (</w:t>
      </w:r>
      <w:proofErr w:type="spellStart"/>
      <w:r>
        <w:t>p</w:t>
      </w:r>
      <w:proofErr w:type="gramStart"/>
      <w:r>
        <w:t>,V,T</w:t>
      </w:r>
      <w:proofErr w:type="spellEnd"/>
      <w:proofErr w:type="gramEnd"/>
      <w:r>
        <w:t>) se obtiene derivando ambos miembros:</w:t>
      </w:r>
    </w:p>
    <w:p w:rsidR="00196901" w:rsidRPr="009E537C" w:rsidRDefault="00196901" w:rsidP="009E537C">
      <w:pPr>
        <w:ind w:firstLine="567"/>
      </w:pPr>
      <m:oMathPara>
        <m:oMath>
          <m:r>
            <w:rPr>
              <w:rFonts w:ascii="Cambria Math" w:hAnsi="Cambria Math"/>
            </w:rPr>
            <m:t>V·dp+dp·V=</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∂V</m:t>
                      </m:r>
                    </m:den>
                  </m:f>
                </m:e>
              </m:d>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V</m:t>
              </m:r>
            </m:den>
          </m:f>
        </m:oMath>
      </m:oMathPara>
    </w:p>
    <w:p w:rsidR="00196901" w:rsidRDefault="0033597A" w:rsidP="00196901">
      <w:pPr>
        <w:ind w:firstLine="567"/>
        <w:jc w:val="both"/>
        <w:rPr>
          <w:b/>
        </w:rPr>
      </w:pPr>
      <w:r w:rsidRPr="0033597A">
        <w:t xml:space="preserve"> </w:t>
      </w:r>
      <w:r w:rsidR="00196901">
        <w:rPr>
          <w:b/>
        </w:rPr>
        <w:t>TRANSFORMACIÓN ADIABÁTICA</w:t>
      </w:r>
    </w:p>
    <w:p w:rsidR="00196901" w:rsidRDefault="00196901" w:rsidP="00196901">
      <w:pPr>
        <w:ind w:firstLine="567"/>
        <w:jc w:val="both"/>
      </w:pPr>
      <w:r>
        <w:t>Según el Primer Principio se deduce para dos estados que se unen mediante una transformación adiabática:</w:t>
      </w:r>
    </w:p>
    <w:p w:rsidR="00DE7602" w:rsidRPr="00DE7602" w:rsidRDefault="00DE7602" w:rsidP="00196901">
      <w:pPr>
        <w:jc w:val="both"/>
        <w:rPr>
          <w:rFonts w:eastAsiaTheme="minorEastAsia"/>
        </w:rPr>
      </w:pPr>
      <m:oMathPara>
        <m:oMath>
          <m:r>
            <m:rPr>
              <m:sty m:val="p"/>
            </m:rPr>
            <w:rPr>
              <w:rFonts w:ascii="Cambria Math"/>
            </w:rPr>
            <m:t>p</m:t>
          </m:r>
          <m:r>
            <m:rPr>
              <m:sty m:val="p"/>
            </m:rPr>
            <w:rPr>
              <w:rFonts w:asci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V</m:t>
                  </m:r>
                </m:e>
                <m:sub>
                  <m:r>
                    <m:rPr>
                      <m:sty m:val="p"/>
                    </m:rPr>
                    <w:rPr>
                      <w:rFonts w:ascii="Cambria Math"/>
                    </w:rPr>
                    <m:t xml:space="preserve"> </m:t>
                  </m:r>
                </m:sub>
              </m:sSub>
            </m:e>
            <m:sup>
              <m:r>
                <w:rPr>
                  <w:rFonts w:ascii="Cambria Math" w:hAnsi="Cambria Math"/>
                </w:rPr>
                <m:t>γ</m:t>
              </m:r>
            </m:sup>
          </m:sSup>
          <m:r>
            <m:rPr>
              <m:sty m:val="p"/>
            </m:rPr>
            <w:rPr>
              <w:rFonts w:ascii="Cambria Math"/>
            </w:rPr>
            <m:t>=k</m:t>
          </m:r>
        </m:oMath>
      </m:oMathPara>
    </w:p>
    <w:p w:rsidR="00196901" w:rsidRPr="00D94B83" w:rsidRDefault="00DE7602" w:rsidP="00196901">
      <w:pPr>
        <w:jc w:val="both"/>
      </w:pPr>
      <m:oMathPara>
        <m:oMath>
          <m:r>
            <m:rPr>
              <m:sty m:val="p"/>
            </m:rPr>
            <w:rPr>
              <w:rFonts w:ascii="Cambria Math"/>
            </w:rPr>
            <m:t>T</m:t>
          </m:r>
          <m:r>
            <m:rPr>
              <m:sty m:val="p"/>
            </m:rPr>
            <w:rPr>
              <w:rFonts w:asci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V</m:t>
                  </m:r>
                </m:e>
                <m:sub>
                  <m:r>
                    <w:rPr>
                      <w:rFonts w:ascii="Cambria Math" w:hAnsi="Cambria Math"/>
                    </w:rPr>
                    <m:t xml:space="preserve"> </m:t>
                  </m:r>
                </m:sub>
              </m:sSub>
            </m:e>
            <m:sup>
              <m:r>
                <w:rPr>
                  <w:rFonts w:ascii="Cambria Math" w:hAnsi="Cambria Math"/>
                </w:rPr>
                <m:t>γ-1</m:t>
              </m:r>
            </m:sup>
          </m:sSup>
          <m:r>
            <m:rPr>
              <m:sty m:val="p"/>
            </m:rPr>
            <w:rPr>
              <w:rFonts w:ascii="Cambria Math"/>
            </w:rPr>
            <m:t>=k</m:t>
          </m:r>
          <m:r>
            <m:rPr>
              <m:sty m:val="p"/>
            </m:rPr>
            <w:rPr>
              <w:rFonts w:ascii="Cambria Math"/>
            </w:rPr>
            <m:t>´</m:t>
          </m:r>
        </m:oMath>
      </m:oMathPara>
    </w:p>
    <w:p w:rsidR="00DE7602" w:rsidRPr="00D94B83" w:rsidRDefault="002C5821" w:rsidP="00DE7602">
      <w:pPr>
        <w:jc w:val="both"/>
      </w:pPr>
      <m:oMathPara>
        <m:oMath>
          <m:sSup>
            <m:sSupPr>
              <m:ctrlPr>
                <w:rPr>
                  <w:rFonts w:ascii="Cambria Math" w:hAnsi="Cambria Math"/>
                </w:rPr>
              </m:ctrlPr>
            </m:sSupPr>
            <m:e>
              <m:r>
                <m:rPr>
                  <m:sty m:val="p"/>
                </m:rPr>
                <w:rPr>
                  <w:rFonts w:ascii="Cambria Math"/>
                </w:rPr>
                <m:t>p</m:t>
              </m:r>
            </m:e>
            <m:sup>
              <m:r>
                <w:rPr>
                  <w:rFonts w:ascii="Cambria Math" w:hAnsi="Cambria Math"/>
                </w:rPr>
                <m:t>1-γ</m:t>
              </m:r>
            </m:sup>
          </m:sSup>
          <m:r>
            <m:rPr>
              <m:sty m:val="p"/>
            </m:rPr>
            <w:rPr>
              <w:rFonts w:ascii="Cambria Math"/>
            </w:rPr>
            <m:t>·</m:t>
          </m:r>
          <m:sSup>
            <m:sSupPr>
              <m:ctrlPr>
                <w:rPr>
                  <w:rFonts w:ascii="Cambria Math" w:hAnsi="Cambria Math"/>
                </w:rPr>
              </m:ctrlPr>
            </m:sSupPr>
            <m:e>
              <m:r>
                <m:rPr>
                  <m:sty m:val="p"/>
                </m:rPr>
                <w:rPr>
                  <w:rFonts w:ascii="Cambria Math" w:hAnsi="Cambria Math"/>
                </w:rPr>
                <m:t>T</m:t>
              </m:r>
            </m:e>
            <m:sup>
              <m:r>
                <w:rPr>
                  <w:rFonts w:ascii="Cambria Math" w:hAnsi="Cambria Math"/>
                </w:rPr>
                <m:t>γ</m:t>
              </m:r>
            </m:sup>
          </m:sSup>
          <m:r>
            <m:rPr>
              <m:sty m:val="p"/>
            </m:rPr>
            <w:rPr>
              <w:rFonts w:ascii="Cambria Math"/>
            </w:rPr>
            <m:t>=</m:t>
          </m:r>
          <m:sSup>
            <m:sSupPr>
              <m:ctrlPr>
                <w:rPr>
                  <w:rFonts w:ascii="Cambria Math" w:hAnsi="Cambria Math"/>
                </w:rPr>
              </m:ctrlPr>
            </m:sSupPr>
            <m:e>
              <m:r>
                <m:rPr>
                  <m:sty m:val="p"/>
                </m:rPr>
                <w:rPr>
                  <w:rFonts w:ascii="Cambria Math"/>
                </w:rPr>
                <m:t>k</m:t>
              </m:r>
            </m:e>
            <m:sup>
              <m:r>
                <m:rPr>
                  <m:sty m:val="p"/>
                </m:rPr>
                <w:rPr>
                  <w:rFonts w:ascii="Cambria Math"/>
                </w:rPr>
                <m:t>''</m:t>
              </m:r>
            </m:sup>
          </m:sSup>
          <m:r>
            <m:rPr>
              <m:sty m:val="p"/>
            </m:rPr>
            <w:rPr>
              <w:rFonts w:ascii="Cambria Math" w:hAnsi="Cambria Math"/>
            </w:rPr>
            <m:t>´´</m:t>
          </m:r>
        </m:oMath>
      </m:oMathPara>
    </w:p>
    <w:p w:rsidR="00196901" w:rsidRPr="00196901" w:rsidRDefault="00DE7602" w:rsidP="00DE7602">
      <w:pPr>
        <w:jc w:val="right"/>
      </w:pPr>
      <w:r>
        <w:t xml:space="preserve">Siendo </w:t>
      </w:r>
      <m:oMath>
        <m:r>
          <w:rPr>
            <w:rFonts w:ascii="Cambria Math" w:hAnsi="Cambria Math"/>
          </w:rPr>
          <m:t>γ=</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m:t>
                </m:r>
              </m:sub>
            </m:sSub>
          </m:num>
          <m:den>
            <m:sSub>
              <m:sSubPr>
                <m:ctrlPr>
                  <w:rPr>
                    <w:rFonts w:ascii="Cambria Math" w:hAnsi="Cambria Math"/>
                    <w:i/>
                  </w:rPr>
                </m:ctrlPr>
              </m:sSubPr>
              <m:e>
                <m:r>
                  <w:rPr>
                    <w:rFonts w:ascii="Cambria Math" w:hAnsi="Cambria Math"/>
                  </w:rPr>
                  <m:t>C</m:t>
                </m:r>
              </m:e>
              <m:sub>
                <m:r>
                  <w:rPr>
                    <w:rFonts w:ascii="Cambria Math" w:hAnsi="Cambria Math"/>
                  </w:rPr>
                  <m:t>V</m:t>
                </m:r>
              </m:sub>
            </m:sSub>
          </m:den>
        </m:f>
      </m:oMath>
    </w:p>
    <w:p w:rsidR="00196901" w:rsidRDefault="00DE7602" w:rsidP="00196901">
      <w:pPr>
        <w:ind w:firstLine="567"/>
        <w:jc w:val="both"/>
      </w:pPr>
      <w:r w:rsidRPr="00DE7602">
        <w:t>La pendiente de la adiabática en dichas coordenadas se obtiene derivando ambos miembros</w:t>
      </w:r>
      <w:r>
        <w:t>:</w:t>
      </w:r>
    </w:p>
    <w:p w:rsidR="00DE7602" w:rsidRPr="00DE7602" w:rsidRDefault="002C5821" w:rsidP="00196901">
      <w:pPr>
        <w:ind w:firstLine="567"/>
        <w:jc w:val="both"/>
      </w:pPr>
      <m:oMathPara>
        <m:oMath>
          <m:sSup>
            <m:sSupPr>
              <m:ctrlPr>
                <w:rPr>
                  <w:rFonts w:ascii="Cambria Math" w:hAnsi="Cambria Math"/>
                  <w:i/>
                </w:rPr>
              </m:ctrlPr>
            </m:sSupPr>
            <m:e>
              <m:r>
                <w:rPr>
                  <w:rFonts w:ascii="Cambria Math" w:hAnsi="Cambria Math"/>
                </w:rPr>
                <m:t>V</m:t>
              </m:r>
            </m:e>
            <m:sup>
              <m:r>
                <w:rPr>
                  <w:rFonts w:ascii="Cambria Math" w:hAnsi="Cambria Math"/>
                </w:rPr>
                <m:t>γ</m:t>
              </m:r>
            </m:sup>
          </m:sSup>
          <m:r>
            <w:rPr>
              <w:rFonts w:ascii="Cambria Math" w:hAnsi="Cambria Math"/>
            </w:rPr>
            <m:t>·dp+p·γ·</m:t>
          </m:r>
          <m:sSup>
            <m:sSupPr>
              <m:ctrlPr>
                <w:rPr>
                  <w:rFonts w:ascii="Cambria Math" w:hAnsi="Cambria Math"/>
                  <w:i/>
                </w:rPr>
              </m:ctrlPr>
            </m:sSupPr>
            <m:e>
              <m:r>
                <w:rPr>
                  <w:rFonts w:ascii="Cambria Math" w:hAnsi="Cambria Math"/>
                </w:rPr>
                <m:t>V</m:t>
              </m:r>
            </m:e>
            <m:sup>
              <m:r>
                <w:rPr>
                  <w:rFonts w:ascii="Cambria Math" w:hAnsi="Cambria Math"/>
                </w:rPr>
                <m:t>γ-1</m:t>
              </m:r>
            </m:sup>
          </m:sSup>
          <m:r>
            <w:rPr>
              <w:rFonts w:ascii="Cambria Math" w:hAnsi="Cambria Math"/>
            </w:rPr>
            <m:t>·dV=0→</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∂V</m:t>
                      </m:r>
                    </m:den>
                  </m:f>
                </m:e>
              </m:d>
            </m:e>
            <m:sub>
              <m:r>
                <w:rPr>
                  <w:rFonts w:ascii="Cambria Math" w:hAnsi="Cambria Math"/>
                </w:rPr>
                <m:t>Q=0</m:t>
              </m:r>
            </m:sub>
          </m:sSub>
          <m:r>
            <w:rPr>
              <w:rFonts w:ascii="Cambria Math" w:hAnsi="Cambria Math"/>
            </w:rPr>
            <m:t>=-γ·</m:t>
          </m:r>
          <m:f>
            <m:fPr>
              <m:ctrlPr>
                <w:rPr>
                  <w:rFonts w:ascii="Cambria Math" w:hAnsi="Cambria Math"/>
                  <w:i/>
                </w:rPr>
              </m:ctrlPr>
            </m:fPr>
            <m:num>
              <m:r>
                <w:rPr>
                  <w:rFonts w:ascii="Cambria Math" w:hAnsi="Cambria Math"/>
                </w:rPr>
                <m:t>p</m:t>
              </m:r>
            </m:num>
            <m:den>
              <m:r>
                <w:rPr>
                  <w:rFonts w:ascii="Cambria Math" w:hAnsi="Cambria Math"/>
                </w:rPr>
                <m:t>V</m:t>
              </m:r>
            </m:den>
          </m:f>
        </m:oMath>
      </m:oMathPara>
    </w:p>
    <w:p w:rsidR="007754CC" w:rsidRDefault="007754CC" w:rsidP="0033597A">
      <w:pPr>
        <w:ind w:firstLine="567"/>
      </w:pPr>
    </w:p>
    <w:p w:rsidR="0033597A" w:rsidRDefault="007754CC" w:rsidP="0033597A">
      <w:pPr>
        <w:ind w:firstLine="567"/>
        <w:rPr>
          <w:lang w:val="es-ES"/>
        </w:rPr>
      </w:pPr>
      <w:r>
        <w:rPr>
          <w:lang w:val="es-ES"/>
        </w:rPr>
        <w:t>Por tanto, la línea de estos procesos tiene mayor pendiente que los isotermos</w:t>
      </w:r>
    </w:p>
    <w:p w:rsidR="007754CC" w:rsidRDefault="007754CC" w:rsidP="0033597A">
      <w:pPr>
        <w:ind w:firstLine="567"/>
        <w:rPr>
          <w:rFonts w:eastAsiaTheme="minorEastAsia"/>
        </w:rPr>
      </w:pPr>
      <m:oMathPara>
        <m:oMath>
          <m:r>
            <w:rPr>
              <w:rFonts w:ascii="Cambria Math" w:hAnsi="Cambria Math"/>
            </w:rPr>
            <m:t>γ=</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m:t>
                  </m:r>
                </m:sub>
              </m:sSub>
            </m:num>
            <m:den>
              <m:sSub>
                <m:sSubPr>
                  <m:ctrlPr>
                    <w:rPr>
                      <w:rFonts w:ascii="Cambria Math" w:hAnsi="Cambria Math"/>
                      <w:i/>
                    </w:rPr>
                  </m:ctrlPr>
                </m:sSubPr>
                <m:e>
                  <m:r>
                    <w:rPr>
                      <w:rFonts w:ascii="Cambria Math" w:hAnsi="Cambria Math"/>
                    </w:rPr>
                    <m:t>C</m:t>
                  </m:r>
                </m:e>
                <m:sub>
                  <m:r>
                    <w:rPr>
                      <w:rFonts w:ascii="Cambria Math" w:hAnsi="Cambria Math"/>
                    </w:rPr>
                    <m:t>V</m:t>
                  </m:r>
                </m:sub>
              </m:sSub>
            </m:den>
          </m:f>
          <m:r>
            <w:rPr>
              <w:rFonts w:ascii="Cambria Math" w:hAnsi="Cambria Math"/>
            </w:rPr>
            <m:t>&gt;1</m:t>
          </m:r>
        </m:oMath>
      </m:oMathPara>
    </w:p>
    <w:p w:rsidR="007754CC" w:rsidRDefault="007754CC" w:rsidP="0033597A">
      <w:pPr>
        <w:ind w:firstLine="567"/>
        <w:rPr>
          <w:rFonts w:eastAsiaTheme="minorEastAsia"/>
        </w:rPr>
      </w:pPr>
      <w:r>
        <w:rPr>
          <w:rFonts w:eastAsiaTheme="minorEastAsia"/>
        </w:rPr>
        <w:t xml:space="preserve">También se observa en el diagrama que la  expansión adiabática corresponde a un enfriamiento y este es mayor cuanto más grande sea la relación </w:t>
      </w:r>
      <m:oMath>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m:t>
                </m:r>
              </m:sub>
            </m:sSub>
          </m:num>
          <m:den>
            <m:sSub>
              <m:sSubPr>
                <m:ctrlPr>
                  <w:rPr>
                    <w:rFonts w:ascii="Cambria Math" w:hAnsi="Cambria Math"/>
                    <w:i/>
                  </w:rPr>
                </m:ctrlPr>
              </m:sSubPr>
              <m:e>
                <m:r>
                  <w:rPr>
                    <w:rFonts w:ascii="Cambria Math" w:hAnsi="Cambria Math"/>
                  </w:rPr>
                  <m:t>C</m:t>
                </m:r>
              </m:e>
              <m:sub>
                <m:r>
                  <w:rPr>
                    <w:rFonts w:ascii="Cambria Math" w:hAnsi="Cambria Math"/>
                  </w:rPr>
                  <m:t>V</m:t>
                </m:r>
              </m:sub>
            </m:sSub>
          </m:den>
        </m:f>
      </m:oMath>
    </w:p>
    <w:p w:rsidR="007754CC" w:rsidRDefault="007754CC">
      <w:pPr>
        <w:rPr>
          <w:b/>
          <w:lang w:val="es-ES"/>
        </w:rPr>
      </w:pPr>
      <w:r>
        <w:rPr>
          <w:b/>
          <w:lang w:val="es-ES"/>
        </w:rPr>
        <w:br w:type="page"/>
      </w:r>
    </w:p>
    <w:p w:rsidR="007754CC" w:rsidRDefault="007754CC" w:rsidP="0033597A">
      <w:pPr>
        <w:ind w:firstLine="567"/>
        <w:rPr>
          <w:b/>
          <w:lang w:val="es-ES"/>
        </w:rPr>
      </w:pPr>
      <w:r>
        <w:rPr>
          <w:b/>
          <w:lang w:val="es-ES"/>
        </w:rPr>
        <w:lastRenderedPageBreak/>
        <w:t>MÉTODO DE CLEMENT-DESORMES</w:t>
      </w:r>
    </w:p>
    <w:p w:rsidR="007754CC" w:rsidRDefault="007754CC" w:rsidP="0033597A">
      <w:pPr>
        <w:ind w:firstLine="567"/>
        <w:rPr>
          <w:lang w:val="es-ES"/>
        </w:rPr>
      </w:pPr>
      <w:r>
        <w:rPr>
          <w:lang w:val="es-ES"/>
        </w:rPr>
        <w:t>Consiste en medir la pendiente de una adiabática y de una isoterma ya que de las ecuaciones de transformación isoterma y adiabática se deduce:</w:t>
      </w:r>
    </w:p>
    <w:p w:rsidR="007754CC" w:rsidRDefault="007754CC" w:rsidP="0033597A">
      <w:pPr>
        <w:ind w:firstLine="567"/>
        <w:rPr>
          <w:rFonts w:eastAsiaTheme="minorEastAsia"/>
        </w:rPr>
      </w:pPr>
      <m:oMathPara>
        <m:oMath>
          <m:r>
            <w:rPr>
              <w:rFonts w:ascii="Cambria Math" w:hAnsi="Cambria Math"/>
            </w:rPr>
            <m:t>γ=</m:t>
          </m:r>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∂V</m:t>
                          </m:r>
                        </m:den>
                      </m:f>
                    </m:e>
                  </m:d>
                </m:e>
                <m:sub>
                  <m:r>
                    <w:rPr>
                      <w:rFonts w:ascii="Cambria Math" w:hAnsi="Cambria Math"/>
                    </w:rPr>
                    <m:t>adiabatico</m:t>
                  </m:r>
                </m:sub>
              </m:sSub>
            </m:num>
            <m:den>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∂V</m:t>
                          </m:r>
                        </m:den>
                      </m:f>
                    </m:e>
                  </m:d>
                </m:e>
                <m:sub>
                  <m:r>
                    <w:rPr>
                      <w:rFonts w:ascii="Cambria Math" w:hAnsi="Cambria Math"/>
                    </w:rPr>
                    <m:t>isotermo</m:t>
                  </m:r>
                </m:sub>
              </m:sSub>
            </m:den>
          </m:f>
        </m:oMath>
      </m:oMathPara>
    </w:p>
    <w:p w:rsidR="00471F82" w:rsidRDefault="007754CC" w:rsidP="0043581F">
      <w:pPr>
        <w:ind w:firstLine="567"/>
        <w:rPr>
          <w:rFonts w:eastAsiaTheme="minorEastAsia"/>
        </w:rPr>
      </w:pPr>
      <w:r>
        <w:rPr>
          <w:rFonts w:eastAsiaTheme="minorEastAsia"/>
        </w:rPr>
        <w:t>Para realizar estas medidas se parte de un punto (1) y se toman medidas de presión del aire contenido en el botellón en este punto y en los pun tos (2) y (3).</w:t>
      </w:r>
      <w:r w:rsidR="00471F82" w:rsidRPr="00471F82">
        <w:rPr>
          <w:rFonts w:eastAsiaTheme="minorEastAsia"/>
        </w:rPr>
        <w:t xml:space="preserve"> </w:t>
      </w:r>
    </w:p>
    <w:p w:rsidR="007754CC" w:rsidRDefault="00471F82" w:rsidP="00471F82">
      <w:pPr>
        <w:ind w:firstLine="567"/>
        <w:jc w:val="center"/>
        <w:rPr>
          <w:rFonts w:eastAsiaTheme="minorEastAsia"/>
        </w:rPr>
      </w:pPr>
      <w:r w:rsidRPr="00471F82">
        <w:rPr>
          <w:rFonts w:eastAsiaTheme="minorEastAsia"/>
          <w:noProof/>
          <w:lang w:eastAsia="es-ES_tradnl"/>
        </w:rPr>
        <w:drawing>
          <wp:inline distT="0" distB="0" distL="0" distR="0">
            <wp:extent cx="2676525" cy="2038350"/>
            <wp:effectExtent l="19050" t="0" r="9525" b="0"/>
            <wp:docPr id="3" name="Imagen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cstate="print"/>
                    <a:srcRect/>
                    <a:stretch>
                      <a:fillRect/>
                    </a:stretch>
                  </pic:blipFill>
                  <pic:spPr bwMode="auto">
                    <a:xfrm>
                      <a:off x="0" y="0"/>
                      <a:ext cx="2676525" cy="2038350"/>
                    </a:xfrm>
                    <a:prstGeom prst="rect">
                      <a:avLst/>
                    </a:prstGeom>
                    <a:noFill/>
                    <a:ln w="9525">
                      <a:noFill/>
                      <a:miter lim="800000"/>
                      <a:headEnd/>
                      <a:tailEnd/>
                    </a:ln>
                  </pic:spPr>
                </pic:pic>
              </a:graphicData>
            </a:graphic>
          </wp:inline>
        </w:drawing>
      </w:r>
    </w:p>
    <w:p w:rsidR="007754CC" w:rsidRDefault="007754CC" w:rsidP="0033597A">
      <w:pPr>
        <w:ind w:firstLine="567"/>
        <w:rPr>
          <w:rFonts w:eastAsiaTheme="minorEastAsia"/>
          <w:lang w:val="es-ES"/>
        </w:rPr>
      </w:pPr>
      <w:r>
        <w:rPr>
          <w:rFonts w:eastAsiaTheme="minorEastAsia"/>
        </w:rPr>
        <w:t>La pendiente media en (1)</w:t>
      </w:r>
      <w:r w:rsidR="00471F82">
        <w:rPr>
          <w:rFonts w:eastAsiaTheme="minorEastAsia"/>
        </w:rPr>
        <w:t xml:space="preserve"> para la transformación adiabática es  </w:t>
      </w:r>
      <m:oMath>
        <m:f>
          <m:fPr>
            <m:ctrlPr>
              <w:rPr>
                <w:rFonts w:ascii="Cambria Math" w:hAnsi="Cambria Math"/>
                <w:i/>
                <w:sz w:val="28"/>
                <w:lang w:val="es-ES"/>
              </w:rPr>
            </m:ctrlPr>
          </m:fPr>
          <m:num>
            <m:sSub>
              <m:sSubPr>
                <m:ctrlPr>
                  <w:rPr>
                    <w:rFonts w:ascii="Cambria Math" w:hAnsi="Cambria Math"/>
                    <w:i/>
                    <w:sz w:val="28"/>
                    <w:lang w:val="es-ES"/>
                  </w:rPr>
                </m:ctrlPr>
              </m:sSubPr>
              <m:e>
                <m:r>
                  <w:rPr>
                    <w:rFonts w:ascii="Cambria Math" w:hAnsi="Cambria Math"/>
                    <w:sz w:val="28"/>
                    <w:lang w:val="es-ES"/>
                  </w:rPr>
                  <m:t>P</m:t>
                </m:r>
              </m:e>
              <m:sub>
                <m:r>
                  <w:rPr>
                    <w:rFonts w:ascii="Cambria Math" w:hAnsi="Cambria Math"/>
                    <w:sz w:val="28"/>
                    <w:lang w:val="es-ES"/>
                  </w:rPr>
                  <m:t>2</m:t>
                </m:r>
              </m:sub>
            </m:sSub>
            <m:r>
              <w:rPr>
                <w:rFonts w:ascii="Cambria Math" w:hAnsi="Cambria Math"/>
                <w:sz w:val="28"/>
                <w:lang w:val="es-ES"/>
              </w:rPr>
              <m:t>-</m:t>
            </m:r>
            <m:sSub>
              <m:sSubPr>
                <m:ctrlPr>
                  <w:rPr>
                    <w:rFonts w:ascii="Cambria Math" w:hAnsi="Cambria Math"/>
                    <w:i/>
                    <w:sz w:val="28"/>
                    <w:lang w:val="es-ES"/>
                  </w:rPr>
                </m:ctrlPr>
              </m:sSubPr>
              <m:e>
                <m:r>
                  <w:rPr>
                    <w:rFonts w:ascii="Cambria Math" w:hAnsi="Cambria Math"/>
                    <w:sz w:val="28"/>
                    <w:lang w:val="es-ES"/>
                  </w:rPr>
                  <m:t>P</m:t>
                </m:r>
              </m:e>
              <m:sub>
                <m:r>
                  <w:rPr>
                    <w:rFonts w:ascii="Cambria Math" w:hAnsi="Cambria Math"/>
                    <w:sz w:val="28"/>
                    <w:lang w:val="es-ES"/>
                  </w:rPr>
                  <m:t>1</m:t>
                </m:r>
              </m:sub>
            </m:sSub>
          </m:num>
          <m:den>
            <m:r>
              <w:rPr>
                <w:rFonts w:ascii="Cambria Math" w:hAnsi="Cambria Math"/>
                <w:sz w:val="28"/>
                <w:lang w:val="es-ES"/>
              </w:rPr>
              <m:t>∆V</m:t>
            </m:r>
          </m:den>
        </m:f>
      </m:oMath>
    </w:p>
    <w:p w:rsidR="00471F82" w:rsidRPr="007754CC" w:rsidRDefault="00471F82" w:rsidP="00471F82">
      <w:pPr>
        <w:ind w:firstLine="567"/>
        <w:rPr>
          <w:lang w:val="es-ES"/>
        </w:rPr>
      </w:pPr>
      <w:r>
        <w:rPr>
          <w:rFonts w:eastAsiaTheme="minorEastAsia"/>
        </w:rPr>
        <w:t>La pendiente media en (1)</w:t>
      </w:r>
      <w:r w:rsidRPr="00471F82">
        <w:rPr>
          <w:rFonts w:eastAsiaTheme="minorEastAsia"/>
        </w:rPr>
        <w:t xml:space="preserve"> </w:t>
      </w:r>
      <w:r>
        <w:rPr>
          <w:rFonts w:eastAsiaTheme="minorEastAsia"/>
        </w:rPr>
        <w:t xml:space="preserve">para la transformación isoterma es  </w:t>
      </w:r>
      <m:oMath>
        <m:f>
          <m:fPr>
            <m:ctrlPr>
              <w:rPr>
                <w:rFonts w:ascii="Cambria Math" w:hAnsi="Cambria Math"/>
                <w:i/>
                <w:sz w:val="28"/>
                <w:lang w:val="es-ES"/>
              </w:rPr>
            </m:ctrlPr>
          </m:fPr>
          <m:num>
            <m:sSub>
              <m:sSubPr>
                <m:ctrlPr>
                  <w:rPr>
                    <w:rFonts w:ascii="Cambria Math" w:hAnsi="Cambria Math"/>
                    <w:i/>
                    <w:sz w:val="28"/>
                    <w:lang w:val="es-ES"/>
                  </w:rPr>
                </m:ctrlPr>
              </m:sSubPr>
              <m:e>
                <m:r>
                  <w:rPr>
                    <w:rFonts w:ascii="Cambria Math" w:hAnsi="Cambria Math"/>
                    <w:sz w:val="28"/>
                    <w:lang w:val="es-ES"/>
                  </w:rPr>
                  <m:t>P</m:t>
                </m:r>
              </m:e>
              <m:sub>
                <m:r>
                  <w:rPr>
                    <w:rFonts w:ascii="Cambria Math" w:hAnsi="Cambria Math"/>
                    <w:sz w:val="28"/>
                    <w:lang w:val="es-ES"/>
                  </w:rPr>
                  <m:t>3</m:t>
                </m:r>
              </m:sub>
            </m:sSub>
            <m:r>
              <w:rPr>
                <w:rFonts w:ascii="Cambria Math" w:hAnsi="Cambria Math"/>
                <w:sz w:val="28"/>
                <w:lang w:val="es-ES"/>
              </w:rPr>
              <m:t>-</m:t>
            </m:r>
            <m:sSub>
              <m:sSubPr>
                <m:ctrlPr>
                  <w:rPr>
                    <w:rFonts w:ascii="Cambria Math" w:hAnsi="Cambria Math"/>
                    <w:i/>
                    <w:sz w:val="28"/>
                    <w:lang w:val="es-ES"/>
                  </w:rPr>
                </m:ctrlPr>
              </m:sSubPr>
              <m:e>
                <m:r>
                  <w:rPr>
                    <w:rFonts w:ascii="Cambria Math" w:hAnsi="Cambria Math"/>
                    <w:sz w:val="28"/>
                    <w:lang w:val="es-ES"/>
                  </w:rPr>
                  <m:t>P</m:t>
                </m:r>
              </m:e>
              <m:sub>
                <m:r>
                  <w:rPr>
                    <w:rFonts w:ascii="Cambria Math" w:hAnsi="Cambria Math"/>
                    <w:sz w:val="28"/>
                    <w:lang w:val="es-ES"/>
                  </w:rPr>
                  <m:t>1</m:t>
                </m:r>
              </m:sub>
            </m:sSub>
          </m:num>
          <m:den>
            <m:r>
              <w:rPr>
                <w:rFonts w:ascii="Cambria Math" w:hAnsi="Cambria Math"/>
                <w:sz w:val="28"/>
                <w:lang w:val="es-ES"/>
              </w:rPr>
              <m:t>∆V</m:t>
            </m:r>
          </m:den>
        </m:f>
      </m:oMath>
    </w:p>
    <w:p w:rsidR="00471F82" w:rsidRDefault="00471F82" w:rsidP="0033597A">
      <w:pPr>
        <w:ind w:firstLine="567"/>
        <w:rPr>
          <w:lang w:val="es-ES"/>
        </w:rPr>
      </w:pPr>
      <w:r>
        <w:rPr>
          <w:lang w:val="es-ES"/>
        </w:rPr>
        <w:t>Por tanto:</w:t>
      </w:r>
    </w:p>
    <w:p w:rsidR="00471F82" w:rsidRDefault="00471F82" w:rsidP="00471F82">
      <w:pPr>
        <w:rPr>
          <w:rFonts w:eastAsiaTheme="minorEastAsia"/>
        </w:rPr>
      </w:pPr>
      <m:oMathPara>
        <m:oMath>
          <m:r>
            <w:rPr>
              <w:rFonts w:ascii="Cambria Math" w:hAnsi="Cambria Math"/>
            </w:rPr>
            <m:t>γ=</m:t>
          </m:r>
          <m:f>
            <m:fPr>
              <m:ctrlPr>
                <w:rPr>
                  <w:rFonts w:ascii="Cambria Math" w:hAnsi="Cambria Math"/>
                  <w:i/>
                </w:rPr>
              </m:ctrlPr>
            </m:fPr>
            <m:num>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2</m:t>
                  </m:r>
                </m:sub>
              </m:sSub>
            </m:num>
            <m:den>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3</m:t>
                  </m:r>
                </m:sub>
              </m:sSub>
            </m:den>
          </m:f>
        </m:oMath>
      </m:oMathPara>
    </w:p>
    <w:p w:rsidR="00004046" w:rsidRDefault="00004046" w:rsidP="00004046">
      <w:pPr>
        <w:rPr>
          <w:b/>
          <w:sz w:val="28"/>
        </w:rPr>
      </w:pPr>
    </w:p>
    <w:p w:rsidR="0043581F" w:rsidRDefault="0043581F">
      <w:pPr>
        <w:rPr>
          <w:b/>
          <w:sz w:val="28"/>
        </w:rPr>
      </w:pPr>
      <w:r>
        <w:rPr>
          <w:b/>
          <w:sz w:val="28"/>
        </w:rPr>
        <w:br w:type="page"/>
      </w:r>
    </w:p>
    <w:p w:rsidR="00004046" w:rsidRDefault="00004046" w:rsidP="00004046">
      <w:pPr>
        <w:rPr>
          <w:b/>
          <w:sz w:val="28"/>
        </w:rPr>
      </w:pPr>
      <w:r>
        <w:rPr>
          <w:b/>
          <w:sz w:val="28"/>
        </w:rPr>
        <w:lastRenderedPageBreak/>
        <w:t>PROCEDIMIENTO EXPERIMENTAL</w:t>
      </w:r>
    </w:p>
    <w:p w:rsidR="00004046" w:rsidRDefault="00004046" w:rsidP="00004046">
      <w:pPr>
        <w:rPr>
          <w:rFonts w:eastAsiaTheme="minorEastAsia"/>
          <w:b/>
        </w:rPr>
      </w:pPr>
      <w:r>
        <w:rPr>
          <w:rFonts w:eastAsiaTheme="minorEastAsia"/>
        </w:rPr>
        <w:tab/>
      </w:r>
      <w:r w:rsidRPr="00004046">
        <w:rPr>
          <w:rFonts w:eastAsiaTheme="minorEastAsia"/>
          <w:b/>
        </w:rPr>
        <w:t>MATERIAL</w:t>
      </w:r>
    </w:p>
    <w:p w:rsidR="00004046" w:rsidRDefault="00004046" w:rsidP="00004046">
      <w:pPr>
        <w:pStyle w:val="Prrafodelista"/>
        <w:numPr>
          <w:ilvl w:val="0"/>
          <w:numId w:val="1"/>
        </w:numPr>
        <w:rPr>
          <w:rFonts w:eastAsiaTheme="minorEastAsia"/>
        </w:rPr>
      </w:pPr>
      <w:r>
        <w:rPr>
          <w:rFonts w:eastAsiaTheme="minorEastAsia"/>
        </w:rPr>
        <w:t>Botellón de vidrio</w:t>
      </w:r>
    </w:p>
    <w:p w:rsidR="00004046" w:rsidRDefault="00004046" w:rsidP="00004046">
      <w:pPr>
        <w:pStyle w:val="Prrafodelista"/>
        <w:numPr>
          <w:ilvl w:val="0"/>
          <w:numId w:val="1"/>
        </w:numPr>
        <w:rPr>
          <w:rFonts w:eastAsiaTheme="minorEastAsia"/>
        </w:rPr>
      </w:pPr>
      <w:r>
        <w:rPr>
          <w:rFonts w:eastAsiaTheme="minorEastAsia"/>
        </w:rPr>
        <w:t>Compresor de aire</w:t>
      </w:r>
    </w:p>
    <w:p w:rsidR="00004046" w:rsidRDefault="00004046" w:rsidP="00004046">
      <w:pPr>
        <w:pStyle w:val="Prrafodelista"/>
        <w:numPr>
          <w:ilvl w:val="0"/>
          <w:numId w:val="1"/>
        </w:numPr>
        <w:rPr>
          <w:rFonts w:eastAsiaTheme="minorEastAsia"/>
        </w:rPr>
      </w:pPr>
      <w:r>
        <w:rPr>
          <w:rFonts w:eastAsiaTheme="minorEastAsia"/>
        </w:rPr>
        <w:t>Manómetro diferencial de agua</w:t>
      </w:r>
    </w:p>
    <w:p w:rsidR="00004046" w:rsidRDefault="00004046" w:rsidP="00004046">
      <w:pPr>
        <w:ind w:firstLine="708"/>
        <w:rPr>
          <w:rFonts w:eastAsiaTheme="minorEastAsia"/>
          <w:b/>
          <w:caps/>
        </w:rPr>
      </w:pPr>
      <w:r w:rsidRPr="00004046">
        <w:rPr>
          <w:rFonts w:eastAsiaTheme="minorEastAsia"/>
          <w:b/>
          <w:caps/>
        </w:rPr>
        <w:t>Método operativo</w:t>
      </w:r>
      <w:r>
        <w:rPr>
          <w:rFonts w:eastAsiaTheme="minorEastAsia"/>
          <w:b/>
          <w:caps/>
        </w:rPr>
        <w:t>:</w:t>
      </w:r>
    </w:p>
    <w:p w:rsidR="00004046" w:rsidRDefault="00004046" w:rsidP="00004046">
      <w:pPr>
        <w:rPr>
          <w:rFonts w:eastAsiaTheme="minorEastAsia"/>
        </w:rPr>
      </w:pPr>
      <w:r>
        <w:rPr>
          <w:rFonts w:eastAsiaTheme="minorEastAsia"/>
          <w:caps/>
        </w:rPr>
        <w:tab/>
      </w:r>
      <w:r w:rsidRPr="00004046">
        <w:rPr>
          <w:rFonts w:eastAsiaTheme="minorEastAsia"/>
        </w:rPr>
        <w:t>El primer paso es realizar el montaje</w:t>
      </w:r>
      <w:r>
        <w:rPr>
          <w:rFonts w:eastAsiaTheme="minorEastAsia"/>
        </w:rPr>
        <w:t xml:space="preserve"> de la figura:</w:t>
      </w:r>
    </w:p>
    <w:p w:rsidR="00004046" w:rsidRDefault="00471F82" w:rsidP="00004046">
      <w:pPr>
        <w:jc w:val="center"/>
        <w:rPr>
          <w:lang w:val="es-ES"/>
        </w:rPr>
      </w:pPr>
      <w:r>
        <w:rPr>
          <w:noProof/>
          <w:lang w:eastAsia="es-ES_tradnl"/>
        </w:rPr>
        <w:drawing>
          <wp:inline distT="0" distB="0" distL="0" distR="0">
            <wp:extent cx="2790825" cy="1749578"/>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93717" cy="1751391"/>
                    </a:xfrm>
                    <a:prstGeom prst="rect">
                      <a:avLst/>
                    </a:prstGeom>
                    <a:noFill/>
                    <a:ln w="9525">
                      <a:noFill/>
                      <a:miter lim="800000"/>
                      <a:headEnd/>
                      <a:tailEnd/>
                    </a:ln>
                  </pic:spPr>
                </pic:pic>
              </a:graphicData>
            </a:graphic>
          </wp:inline>
        </w:drawing>
      </w:r>
    </w:p>
    <w:p w:rsidR="00C04BEC" w:rsidRDefault="00C04BEC" w:rsidP="00C04BEC">
      <w:pPr>
        <w:ind w:firstLine="708"/>
        <w:rPr>
          <w:lang w:val="es-ES"/>
        </w:rPr>
      </w:pPr>
      <w:r>
        <w:rPr>
          <w:lang w:val="es-ES"/>
        </w:rPr>
        <w:t>Para la obtención de unos resultados correctos, en un principio el nivel de las dos ramas del manómetro debe ser  la misma.</w:t>
      </w:r>
    </w:p>
    <w:p w:rsidR="00004046" w:rsidRDefault="00004046" w:rsidP="00004046">
      <w:pPr>
        <w:rPr>
          <w:lang w:val="es-ES"/>
        </w:rPr>
      </w:pPr>
      <w:r>
        <w:rPr>
          <w:lang w:val="es-ES"/>
        </w:rPr>
        <w:tab/>
      </w:r>
      <w:r w:rsidR="00C04BEC">
        <w:rPr>
          <w:lang w:val="es-ES"/>
        </w:rPr>
        <w:t xml:space="preserve">Se comienza inyectando </w:t>
      </w:r>
      <w:r>
        <w:rPr>
          <w:lang w:val="es-ES"/>
        </w:rPr>
        <w:t>aire con ayuda de la manguera del compresor hasta alcanzar una altura de unos 200 mm de agua en el manómetro.</w:t>
      </w:r>
    </w:p>
    <w:p w:rsidR="00004046" w:rsidRPr="00C04BEC" w:rsidRDefault="00004046" w:rsidP="00004046">
      <w:pPr>
        <w:rPr>
          <w:lang w:val="es-ES"/>
        </w:rPr>
      </w:pPr>
      <w:r>
        <w:rPr>
          <w:lang w:val="es-ES"/>
        </w:rPr>
        <w:tab/>
        <w:t>En la compresión hay un ligero calentamiento del aire por lo que se esperan unos minutos hasta que se estabiliza el sistema.</w:t>
      </w:r>
      <w:r w:rsidR="00C04BEC">
        <w:rPr>
          <w:lang w:val="es-ES"/>
        </w:rPr>
        <w:t xml:space="preserve"> Se anota el valor del incremento, que corresponde con </w:t>
      </w:r>
      <w:r w:rsidR="00C04BEC" w:rsidRPr="00C04BEC">
        <w:rPr>
          <w:b/>
          <w:lang w:val="es-ES"/>
        </w:rPr>
        <w:t>h</w:t>
      </w:r>
      <w:r w:rsidR="00C04BEC" w:rsidRPr="00C04BEC">
        <w:rPr>
          <w:b/>
          <w:vertAlign w:val="subscript"/>
          <w:lang w:val="es-ES"/>
        </w:rPr>
        <w:t>1</w:t>
      </w:r>
      <w:r w:rsidR="00C04BEC">
        <w:rPr>
          <w:b/>
          <w:lang w:val="es-ES"/>
        </w:rPr>
        <w:t xml:space="preserve">. </w:t>
      </w:r>
    </w:p>
    <w:p w:rsidR="00C04BEC" w:rsidRDefault="00C04BEC" w:rsidP="00004046">
      <w:pPr>
        <w:rPr>
          <w:lang w:val="es-ES"/>
        </w:rPr>
      </w:pPr>
      <w:r w:rsidRPr="00C04BEC">
        <w:rPr>
          <w:lang w:val="es-ES"/>
        </w:rPr>
        <w:tab/>
        <w:t>A continuación</w:t>
      </w:r>
      <w:r>
        <w:rPr>
          <w:lang w:val="es-ES"/>
        </w:rPr>
        <w:t xml:space="preserve"> se abre la llave del botellón de forma rápida. Se espera y se anota la diferencia de altura </w:t>
      </w:r>
      <w:r w:rsidRPr="00C04BEC">
        <w:rPr>
          <w:b/>
          <w:lang w:val="es-ES"/>
        </w:rPr>
        <w:t>h</w:t>
      </w:r>
      <w:r>
        <w:rPr>
          <w:b/>
          <w:vertAlign w:val="subscript"/>
          <w:lang w:val="es-ES"/>
        </w:rPr>
        <w:t>2</w:t>
      </w:r>
      <w:r>
        <w:rPr>
          <w:lang w:val="es-ES"/>
        </w:rPr>
        <w:t xml:space="preserve">, que en nuestro caso es </w:t>
      </w:r>
      <w:r w:rsidRPr="00C04BEC">
        <w:rPr>
          <w:b/>
          <w:lang w:val="es-ES"/>
        </w:rPr>
        <w:t>nula</w:t>
      </w:r>
      <w:r>
        <w:rPr>
          <w:lang w:val="es-ES"/>
        </w:rPr>
        <w:t xml:space="preserve">, por lo que la presión en este paso se corresponde directamente con la presión atmosférica. </w:t>
      </w:r>
    </w:p>
    <w:p w:rsidR="00C04BEC" w:rsidRPr="00C04BEC" w:rsidRDefault="00C04BEC" w:rsidP="00004046">
      <w:pPr>
        <w:rPr>
          <w:lang w:val="es-ES"/>
        </w:rPr>
      </w:pPr>
      <w:r>
        <w:rPr>
          <w:lang w:val="es-ES"/>
        </w:rPr>
        <w:tab/>
        <w:t xml:space="preserve">Se esperan unos dos minutos para que se caliente el aire a volumen constante. Se anota la altura diferencial </w:t>
      </w:r>
      <w:r w:rsidRPr="00C04BEC">
        <w:rPr>
          <w:b/>
          <w:lang w:val="es-ES"/>
        </w:rPr>
        <w:t>h</w:t>
      </w:r>
      <w:r>
        <w:rPr>
          <w:b/>
          <w:vertAlign w:val="subscript"/>
          <w:lang w:val="es-ES"/>
        </w:rPr>
        <w:t>3</w:t>
      </w:r>
      <w:r>
        <w:rPr>
          <w:b/>
          <w:lang w:val="es-ES"/>
        </w:rPr>
        <w:t xml:space="preserve">. </w:t>
      </w:r>
    </w:p>
    <w:p w:rsidR="00004046" w:rsidRDefault="00C04BEC" w:rsidP="00004046">
      <w:pPr>
        <w:rPr>
          <w:lang w:val="es-ES"/>
        </w:rPr>
      </w:pPr>
      <w:r>
        <w:rPr>
          <w:lang w:val="es-ES"/>
        </w:rPr>
        <w:tab/>
      </w:r>
    </w:p>
    <w:p w:rsidR="00471F82" w:rsidRDefault="002C5821" w:rsidP="0043581F">
      <w:pPr>
        <w:rPr>
          <w:lang w:val="es-ES"/>
        </w:rPr>
      </w:pPr>
      <w:r>
        <w:rPr>
          <w:noProof/>
          <w:lang w:eastAsia="es-ES_tradn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286.7pt;margin-top:47.25pt;width:9.75pt;height:7.15pt;z-index:251659264" fillcolor="red" strokecolor="black [3213]" strokeweight="1pt">
            <v:shadow on="t" type="perspective" color="#622423 [1605]" opacity=".5" offset="1pt" offset2="-1pt"/>
          </v:shape>
        </w:pict>
      </w:r>
      <w:r>
        <w:rPr>
          <w:noProof/>
          <w:lang w:eastAsia="es-ES_tradnl"/>
        </w:rPr>
        <w:pict>
          <v:shape id="_x0000_s1026" type="#_x0000_t13" style="position:absolute;margin-left:157.7pt;margin-top:47.4pt;width:9.75pt;height:7.15pt;z-index:251658240" fillcolor="red" strokecolor="black [3213]" strokeweight="1pt">
            <v:shadow on="t" type="perspective" color="#622423 [1605]" opacity=".5" offset="1pt" offset2="-1pt"/>
          </v:shape>
        </w:pict>
      </w:r>
      <w:r w:rsidR="00471F82">
        <w:rPr>
          <w:noProof/>
          <w:lang w:eastAsia="es-ES_tradnl"/>
        </w:rPr>
        <w:drawing>
          <wp:inline distT="0" distB="0" distL="0" distR="0">
            <wp:extent cx="1911197" cy="1303803"/>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11197" cy="1303803"/>
                    </a:xfrm>
                    <a:prstGeom prst="rect">
                      <a:avLst/>
                    </a:prstGeom>
                    <a:noFill/>
                    <a:ln w="9525">
                      <a:noFill/>
                      <a:miter lim="800000"/>
                      <a:headEnd/>
                      <a:tailEnd/>
                    </a:ln>
                  </pic:spPr>
                </pic:pic>
              </a:graphicData>
            </a:graphic>
          </wp:inline>
        </w:drawing>
      </w:r>
      <w:r w:rsidR="0043581F">
        <w:rPr>
          <w:lang w:val="es-ES"/>
        </w:rPr>
        <w:t xml:space="preserve">        </w:t>
      </w:r>
      <w:r w:rsidR="00C04BEC">
        <w:rPr>
          <w:noProof/>
          <w:lang w:eastAsia="es-ES_tradnl"/>
        </w:rPr>
        <w:drawing>
          <wp:inline distT="0" distB="0" distL="0" distR="0">
            <wp:extent cx="1364884" cy="1307206"/>
            <wp:effectExtent l="19050" t="0" r="6716"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b="5124"/>
                    <a:stretch>
                      <a:fillRect/>
                    </a:stretch>
                  </pic:blipFill>
                  <pic:spPr bwMode="auto">
                    <a:xfrm>
                      <a:off x="0" y="0"/>
                      <a:ext cx="1364884" cy="1307206"/>
                    </a:xfrm>
                    <a:prstGeom prst="rect">
                      <a:avLst/>
                    </a:prstGeom>
                    <a:noFill/>
                    <a:ln w="9525">
                      <a:noFill/>
                      <a:miter lim="800000"/>
                      <a:headEnd/>
                      <a:tailEnd/>
                    </a:ln>
                  </pic:spPr>
                </pic:pic>
              </a:graphicData>
            </a:graphic>
          </wp:inline>
        </w:drawing>
      </w:r>
      <w:r w:rsidR="0043581F">
        <w:rPr>
          <w:lang w:val="es-ES"/>
        </w:rPr>
        <w:t xml:space="preserve">          </w:t>
      </w:r>
      <w:r w:rsidR="00C04BEC">
        <w:rPr>
          <w:noProof/>
          <w:lang w:eastAsia="es-ES_tradnl"/>
        </w:rPr>
        <w:drawing>
          <wp:inline distT="0" distB="0" distL="0" distR="0">
            <wp:extent cx="1441522" cy="1294327"/>
            <wp:effectExtent l="19050" t="0" r="6278"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b="6512"/>
                    <a:stretch>
                      <a:fillRect/>
                    </a:stretch>
                  </pic:blipFill>
                  <pic:spPr bwMode="auto">
                    <a:xfrm>
                      <a:off x="0" y="0"/>
                      <a:ext cx="1441522" cy="1294327"/>
                    </a:xfrm>
                    <a:prstGeom prst="rect">
                      <a:avLst/>
                    </a:prstGeom>
                    <a:noFill/>
                    <a:ln w="9525">
                      <a:noFill/>
                      <a:miter lim="800000"/>
                      <a:headEnd/>
                      <a:tailEnd/>
                    </a:ln>
                  </pic:spPr>
                </pic:pic>
              </a:graphicData>
            </a:graphic>
          </wp:inline>
        </w:drawing>
      </w:r>
    </w:p>
    <w:p w:rsidR="0043581F" w:rsidRDefault="0043581F" w:rsidP="00E2653D">
      <w:pPr>
        <w:spacing w:after="360"/>
        <w:rPr>
          <w:b/>
          <w:sz w:val="28"/>
        </w:rPr>
      </w:pPr>
      <w:r>
        <w:rPr>
          <w:b/>
          <w:sz w:val="28"/>
        </w:rPr>
        <w:lastRenderedPageBreak/>
        <w:t>RESULTADOS Y CÁLCULOS</w:t>
      </w:r>
    </w:p>
    <w:p w:rsidR="0043581F" w:rsidRDefault="0043581F" w:rsidP="00E2653D">
      <w:pPr>
        <w:rPr>
          <w:rFonts w:eastAsiaTheme="minorEastAsia"/>
        </w:rPr>
      </w:pPr>
      <w:r>
        <w:rPr>
          <w:rFonts w:eastAsiaTheme="minorEastAsia"/>
        </w:rPr>
        <w:tab/>
        <w:t>Las alturas recogidas en las seis repeticiones</w:t>
      </w:r>
      <w:r w:rsidR="008546FC">
        <w:rPr>
          <w:rFonts w:eastAsiaTheme="minorEastAsia"/>
        </w:rPr>
        <w:t>, junto con el valor calculado del coeficiente adiabático individual de cada experiencia, se muestran en la tabla de resultados.</w:t>
      </w:r>
    </w:p>
    <w:p w:rsidR="008546FC" w:rsidRDefault="008546FC" w:rsidP="0043581F">
      <w:pPr>
        <w:ind w:firstLine="708"/>
        <w:rPr>
          <w:rFonts w:eastAsiaTheme="minorEastAsia"/>
        </w:rPr>
      </w:pPr>
      <w:r>
        <w:rPr>
          <w:rFonts w:eastAsiaTheme="minorEastAsia"/>
        </w:rPr>
        <w:t>Para calcular cada uno de estos coeficientes individuales se usa:</w:t>
      </w:r>
    </w:p>
    <w:p w:rsidR="008546FC" w:rsidRDefault="008546FC" w:rsidP="0043581F">
      <w:pPr>
        <w:ind w:firstLine="708"/>
        <w:rPr>
          <w:rFonts w:eastAsiaTheme="minorEastAsia"/>
        </w:rPr>
      </w:pPr>
      <m:oMathPara>
        <m:oMath>
          <m:r>
            <w:rPr>
              <w:rFonts w:ascii="Cambria Math" w:eastAsiaTheme="minorEastAsia" w:hAnsi="Cambria Math"/>
            </w:rPr>
            <m:t>γ=</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den>
          </m:f>
        </m:oMath>
      </m:oMathPara>
    </w:p>
    <w:tbl>
      <w:tblPr>
        <w:tblStyle w:val="Tablaconcuadrcula"/>
        <w:tblW w:w="0" w:type="auto"/>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CCCCFF"/>
        <w:tblLook w:val="04A0"/>
      </w:tblPr>
      <w:tblGrid>
        <w:gridCol w:w="1238"/>
        <w:gridCol w:w="1239"/>
        <w:gridCol w:w="1239"/>
        <w:gridCol w:w="1239"/>
        <w:gridCol w:w="1239"/>
        <w:gridCol w:w="1239"/>
        <w:gridCol w:w="1239"/>
      </w:tblGrid>
      <w:tr w:rsidR="00E2653D" w:rsidRPr="00E2653D" w:rsidTr="00E2653D">
        <w:trPr>
          <w:trHeight w:val="465"/>
          <w:jc w:val="center"/>
        </w:trPr>
        <w:tc>
          <w:tcPr>
            <w:tcW w:w="1238" w:type="dxa"/>
            <w:tcBorders>
              <w:top w:val="nil"/>
              <w:left w:val="nil"/>
            </w:tcBorders>
            <w:shd w:val="clear" w:color="auto" w:fill="auto"/>
            <w:vAlign w:val="center"/>
          </w:tcPr>
          <w:p w:rsidR="0043581F" w:rsidRPr="00E2653D" w:rsidRDefault="0043581F" w:rsidP="0043581F">
            <w:pPr>
              <w:jc w:val="center"/>
              <w:rPr>
                <w:rFonts w:eastAsiaTheme="minorEastAsia"/>
              </w:rPr>
            </w:pPr>
          </w:p>
        </w:tc>
        <w:tc>
          <w:tcPr>
            <w:tcW w:w="1239" w:type="dxa"/>
            <w:tcBorders>
              <w:bottom w:val="single" w:sz="12" w:space="0" w:color="0070C0"/>
            </w:tcBorders>
            <w:shd w:val="clear" w:color="auto" w:fill="CCCCFF"/>
            <w:vAlign w:val="center"/>
          </w:tcPr>
          <w:p w:rsidR="0043581F" w:rsidRPr="00E2653D" w:rsidRDefault="0043581F" w:rsidP="0043581F">
            <w:pPr>
              <w:jc w:val="center"/>
              <w:rPr>
                <w:rFonts w:eastAsiaTheme="minorEastAsia"/>
              </w:rPr>
            </w:pPr>
            <w:r w:rsidRPr="00E2653D">
              <w:rPr>
                <w:b/>
                <w:lang w:val="es-ES"/>
              </w:rPr>
              <w:t>h</w:t>
            </w:r>
            <w:r w:rsidRPr="00E2653D">
              <w:rPr>
                <w:b/>
                <w:vertAlign w:val="subscript"/>
                <w:lang w:val="es-ES"/>
              </w:rPr>
              <w:t>1</w:t>
            </w:r>
          </w:p>
        </w:tc>
        <w:tc>
          <w:tcPr>
            <w:tcW w:w="1239" w:type="dxa"/>
            <w:tcBorders>
              <w:bottom w:val="single" w:sz="12" w:space="0" w:color="0070C0"/>
            </w:tcBorders>
            <w:shd w:val="clear" w:color="auto" w:fill="CCCCFF"/>
            <w:vAlign w:val="center"/>
          </w:tcPr>
          <w:p w:rsidR="0043581F" w:rsidRPr="00E2653D" w:rsidRDefault="0043581F" w:rsidP="0043581F">
            <w:pPr>
              <w:jc w:val="center"/>
              <w:rPr>
                <w:rFonts w:eastAsiaTheme="minorEastAsia"/>
              </w:rPr>
            </w:pPr>
            <w:r w:rsidRPr="00E2653D">
              <w:rPr>
                <w:b/>
                <w:lang w:val="es-ES"/>
              </w:rPr>
              <w:t>h</w:t>
            </w:r>
            <w:r w:rsidRPr="00E2653D">
              <w:rPr>
                <w:b/>
                <w:vertAlign w:val="subscript"/>
                <w:lang w:val="es-ES"/>
              </w:rPr>
              <w:t>2</w:t>
            </w:r>
          </w:p>
        </w:tc>
        <w:tc>
          <w:tcPr>
            <w:tcW w:w="1239" w:type="dxa"/>
            <w:tcBorders>
              <w:bottom w:val="single" w:sz="12" w:space="0" w:color="0070C0"/>
            </w:tcBorders>
            <w:shd w:val="clear" w:color="auto" w:fill="CCCCFF"/>
            <w:vAlign w:val="center"/>
          </w:tcPr>
          <w:p w:rsidR="0043581F" w:rsidRPr="00E2653D" w:rsidRDefault="0043581F" w:rsidP="0043581F">
            <w:pPr>
              <w:jc w:val="center"/>
              <w:rPr>
                <w:rFonts w:eastAsiaTheme="minorEastAsia"/>
              </w:rPr>
            </w:pPr>
            <w:r w:rsidRPr="00E2653D">
              <w:rPr>
                <w:b/>
                <w:lang w:val="es-ES"/>
              </w:rPr>
              <w:t>h</w:t>
            </w:r>
            <w:r w:rsidRPr="00E2653D">
              <w:rPr>
                <w:b/>
                <w:vertAlign w:val="subscript"/>
                <w:lang w:val="es-ES"/>
              </w:rPr>
              <w:t>3</w:t>
            </w:r>
          </w:p>
        </w:tc>
        <w:tc>
          <w:tcPr>
            <w:tcW w:w="1239" w:type="dxa"/>
            <w:tcBorders>
              <w:bottom w:val="single" w:sz="12" w:space="0" w:color="0070C0"/>
            </w:tcBorders>
            <w:shd w:val="clear" w:color="auto" w:fill="CCCCFF"/>
            <w:vAlign w:val="center"/>
          </w:tcPr>
          <w:p w:rsidR="0043581F" w:rsidRPr="00E2653D" w:rsidRDefault="0043581F" w:rsidP="0043581F">
            <w:pPr>
              <w:jc w:val="center"/>
              <w:rPr>
                <w:rFonts w:eastAsiaTheme="minorEastAsia"/>
              </w:rPr>
            </w:pPr>
            <w:r w:rsidRPr="00E2653D">
              <w:rPr>
                <w:b/>
                <w:lang w:val="es-ES"/>
              </w:rPr>
              <w:t>h</w:t>
            </w:r>
            <w:r w:rsidRPr="00E2653D">
              <w:rPr>
                <w:b/>
                <w:vertAlign w:val="subscript"/>
                <w:lang w:val="es-ES"/>
              </w:rPr>
              <w:t xml:space="preserve">1 </w:t>
            </w:r>
            <w:r w:rsidRPr="00E2653D">
              <w:rPr>
                <w:rFonts w:eastAsiaTheme="minorEastAsia"/>
              </w:rPr>
              <w:t xml:space="preserve">- </w:t>
            </w:r>
            <w:r w:rsidRPr="00E2653D">
              <w:rPr>
                <w:b/>
                <w:lang w:val="es-ES"/>
              </w:rPr>
              <w:t>h</w:t>
            </w:r>
            <w:r w:rsidRPr="00E2653D">
              <w:rPr>
                <w:b/>
                <w:vertAlign w:val="subscript"/>
                <w:lang w:val="es-ES"/>
              </w:rPr>
              <w:t>3</w:t>
            </w:r>
          </w:p>
        </w:tc>
        <w:tc>
          <w:tcPr>
            <w:tcW w:w="1239" w:type="dxa"/>
            <w:tcBorders>
              <w:bottom w:val="single" w:sz="12" w:space="0" w:color="0070C0"/>
            </w:tcBorders>
            <w:shd w:val="clear" w:color="auto" w:fill="CCCCFF"/>
            <w:vAlign w:val="center"/>
          </w:tcPr>
          <w:p w:rsidR="0043581F" w:rsidRPr="00E2653D" w:rsidRDefault="0043581F" w:rsidP="0043581F">
            <w:pPr>
              <w:jc w:val="center"/>
              <w:rPr>
                <w:rFonts w:eastAsiaTheme="minorEastAsia"/>
              </w:rPr>
            </w:pPr>
            <w:r w:rsidRPr="00E2653D">
              <w:rPr>
                <w:b/>
                <w:lang w:val="es-ES"/>
              </w:rPr>
              <w:t>h</w:t>
            </w:r>
            <w:r w:rsidRPr="00E2653D">
              <w:rPr>
                <w:b/>
                <w:vertAlign w:val="subscript"/>
                <w:lang w:val="es-ES"/>
              </w:rPr>
              <w:t xml:space="preserve">1 </w:t>
            </w:r>
            <w:r w:rsidRPr="00E2653D">
              <w:rPr>
                <w:rFonts w:eastAsiaTheme="minorEastAsia"/>
              </w:rPr>
              <w:t xml:space="preserve">- </w:t>
            </w:r>
            <w:r w:rsidRPr="00E2653D">
              <w:rPr>
                <w:b/>
                <w:lang w:val="es-ES"/>
              </w:rPr>
              <w:t>h</w:t>
            </w:r>
            <w:r w:rsidR="008546FC" w:rsidRPr="00E2653D">
              <w:rPr>
                <w:b/>
                <w:vertAlign w:val="subscript"/>
                <w:lang w:val="es-ES"/>
              </w:rPr>
              <w:t>2</w:t>
            </w:r>
          </w:p>
        </w:tc>
        <w:tc>
          <w:tcPr>
            <w:tcW w:w="1239" w:type="dxa"/>
            <w:tcBorders>
              <w:bottom w:val="single" w:sz="12" w:space="0" w:color="0070C0"/>
            </w:tcBorders>
            <w:shd w:val="clear" w:color="auto" w:fill="CCCCFF"/>
            <w:vAlign w:val="center"/>
          </w:tcPr>
          <w:p w:rsidR="0043581F" w:rsidRPr="00E2653D" w:rsidRDefault="0043581F" w:rsidP="0043581F">
            <w:pPr>
              <w:jc w:val="center"/>
              <w:rPr>
                <w:rFonts w:eastAsiaTheme="minorEastAsia"/>
                <w:b/>
              </w:rPr>
            </w:pPr>
            <m:oMathPara>
              <m:oMath>
                <m:r>
                  <m:rPr>
                    <m:sty m:val="bi"/>
                  </m:rPr>
                  <w:rPr>
                    <w:rFonts w:ascii="Cambria Math" w:hAnsi="Cambria Math"/>
                  </w:rPr>
                  <m:t>γ</m:t>
                </m:r>
              </m:oMath>
            </m:oMathPara>
          </w:p>
        </w:tc>
      </w:tr>
      <w:tr w:rsidR="00E2653D" w:rsidRPr="00E2653D" w:rsidTr="00E2653D">
        <w:trPr>
          <w:trHeight w:val="493"/>
          <w:jc w:val="center"/>
        </w:trPr>
        <w:tc>
          <w:tcPr>
            <w:tcW w:w="1238" w:type="dxa"/>
            <w:shd w:val="clear" w:color="auto" w:fill="CCCCFF"/>
            <w:vAlign w:val="center"/>
          </w:tcPr>
          <w:p w:rsidR="0043581F" w:rsidRPr="00E2653D" w:rsidRDefault="0043581F" w:rsidP="0043581F">
            <w:pPr>
              <w:jc w:val="center"/>
              <w:rPr>
                <w:b/>
                <w:bCs/>
                <w:color w:val="000000"/>
                <w:szCs w:val="24"/>
              </w:rPr>
            </w:pPr>
            <w:r w:rsidRPr="00E2653D">
              <w:rPr>
                <w:b/>
                <w:bCs/>
                <w:color w:val="000000"/>
              </w:rPr>
              <w:t>1</w:t>
            </w:r>
          </w:p>
        </w:tc>
        <w:tc>
          <w:tcPr>
            <w:tcW w:w="1239" w:type="dxa"/>
            <w:tcBorders>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112</w:t>
            </w:r>
          </w:p>
        </w:tc>
        <w:tc>
          <w:tcPr>
            <w:tcW w:w="1239" w:type="dxa"/>
            <w:tcBorders>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0</w:t>
            </w:r>
          </w:p>
        </w:tc>
        <w:tc>
          <w:tcPr>
            <w:tcW w:w="1239" w:type="dxa"/>
            <w:tcBorders>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14</w:t>
            </w:r>
          </w:p>
        </w:tc>
        <w:tc>
          <w:tcPr>
            <w:tcW w:w="1239" w:type="dxa"/>
            <w:tcBorders>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98</w:t>
            </w:r>
          </w:p>
        </w:tc>
        <w:tc>
          <w:tcPr>
            <w:tcW w:w="1239" w:type="dxa"/>
            <w:tcBorders>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112</w:t>
            </w:r>
          </w:p>
        </w:tc>
        <w:tc>
          <w:tcPr>
            <w:tcW w:w="1239" w:type="dxa"/>
            <w:tcBorders>
              <w:left w:val="single" w:sz="12" w:space="0" w:color="0070C0"/>
              <w:bottom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1,1429</w:t>
            </w:r>
          </w:p>
        </w:tc>
      </w:tr>
      <w:tr w:rsidR="00E2653D" w:rsidRPr="00E2653D" w:rsidTr="00E2653D">
        <w:trPr>
          <w:trHeight w:val="493"/>
          <w:jc w:val="center"/>
        </w:trPr>
        <w:tc>
          <w:tcPr>
            <w:tcW w:w="1238" w:type="dxa"/>
            <w:shd w:val="clear" w:color="auto" w:fill="CCCCFF"/>
            <w:vAlign w:val="center"/>
          </w:tcPr>
          <w:p w:rsidR="0043581F" w:rsidRPr="00E2653D" w:rsidRDefault="0043581F" w:rsidP="0043581F">
            <w:pPr>
              <w:jc w:val="center"/>
              <w:rPr>
                <w:b/>
                <w:bCs/>
                <w:color w:val="000000"/>
                <w:szCs w:val="24"/>
              </w:rPr>
            </w:pPr>
            <w:r w:rsidRPr="00E2653D">
              <w:rPr>
                <w:b/>
                <w:bCs/>
                <w:color w:val="000000"/>
              </w:rPr>
              <w:t>2</w:t>
            </w:r>
          </w:p>
        </w:tc>
        <w:tc>
          <w:tcPr>
            <w:tcW w:w="1239" w:type="dxa"/>
            <w:tcBorders>
              <w:top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96</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0</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28</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68</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96</w:t>
            </w:r>
          </w:p>
        </w:tc>
        <w:tc>
          <w:tcPr>
            <w:tcW w:w="1239" w:type="dxa"/>
            <w:tcBorders>
              <w:top w:val="single" w:sz="12" w:space="0" w:color="0070C0"/>
              <w:left w:val="single" w:sz="12" w:space="0" w:color="0070C0"/>
              <w:bottom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1,4118</w:t>
            </w:r>
          </w:p>
        </w:tc>
      </w:tr>
      <w:tr w:rsidR="00E2653D" w:rsidRPr="00E2653D" w:rsidTr="00E2653D">
        <w:trPr>
          <w:trHeight w:val="465"/>
          <w:jc w:val="center"/>
        </w:trPr>
        <w:tc>
          <w:tcPr>
            <w:tcW w:w="1238" w:type="dxa"/>
            <w:shd w:val="clear" w:color="auto" w:fill="CCCCFF"/>
            <w:vAlign w:val="center"/>
          </w:tcPr>
          <w:p w:rsidR="0043581F" w:rsidRPr="00E2653D" w:rsidRDefault="0043581F" w:rsidP="0043581F">
            <w:pPr>
              <w:jc w:val="center"/>
              <w:rPr>
                <w:b/>
                <w:bCs/>
                <w:color w:val="000000"/>
                <w:szCs w:val="24"/>
              </w:rPr>
            </w:pPr>
            <w:r w:rsidRPr="00E2653D">
              <w:rPr>
                <w:b/>
                <w:bCs/>
                <w:color w:val="000000"/>
              </w:rPr>
              <w:t>3</w:t>
            </w:r>
          </w:p>
        </w:tc>
        <w:tc>
          <w:tcPr>
            <w:tcW w:w="1239" w:type="dxa"/>
            <w:tcBorders>
              <w:top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157</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0</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26</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131</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157</w:t>
            </w:r>
          </w:p>
        </w:tc>
        <w:tc>
          <w:tcPr>
            <w:tcW w:w="1239" w:type="dxa"/>
            <w:tcBorders>
              <w:top w:val="single" w:sz="12" w:space="0" w:color="0070C0"/>
              <w:left w:val="single" w:sz="12" w:space="0" w:color="0070C0"/>
              <w:bottom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1,1985</w:t>
            </w:r>
          </w:p>
        </w:tc>
      </w:tr>
      <w:tr w:rsidR="00E2653D" w:rsidRPr="00E2653D" w:rsidTr="00E2653D">
        <w:trPr>
          <w:trHeight w:val="465"/>
          <w:jc w:val="center"/>
        </w:trPr>
        <w:tc>
          <w:tcPr>
            <w:tcW w:w="1238" w:type="dxa"/>
            <w:shd w:val="clear" w:color="auto" w:fill="CCCCFF"/>
            <w:vAlign w:val="center"/>
          </w:tcPr>
          <w:p w:rsidR="0043581F" w:rsidRPr="00E2653D" w:rsidRDefault="0043581F" w:rsidP="0043581F">
            <w:pPr>
              <w:jc w:val="center"/>
              <w:rPr>
                <w:b/>
                <w:bCs/>
                <w:color w:val="000000"/>
                <w:szCs w:val="24"/>
              </w:rPr>
            </w:pPr>
            <w:r w:rsidRPr="00E2653D">
              <w:rPr>
                <w:b/>
                <w:bCs/>
                <w:color w:val="000000"/>
              </w:rPr>
              <w:t>4</w:t>
            </w:r>
          </w:p>
        </w:tc>
        <w:tc>
          <w:tcPr>
            <w:tcW w:w="1239" w:type="dxa"/>
            <w:tcBorders>
              <w:top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54</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0</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9</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45</w:t>
            </w:r>
          </w:p>
        </w:tc>
        <w:tc>
          <w:tcPr>
            <w:tcW w:w="1239" w:type="dxa"/>
            <w:tcBorders>
              <w:top w:val="single" w:sz="12" w:space="0" w:color="0070C0"/>
              <w:left w:val="single" w:sz="12" w:space="0" w:color="0070C0"/>
              <w:bottom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54</w:t>
            </w:r>
          </w:p>
        </w:tc>
        <w:tc>
          <w:tcPr>
            <w:tcW w:w="1239" w:type="dxa"/>
            <w:tcBorders>
              <w:top w:val="single" w:sz="12" w:space="0" w:color="0070C0"/>
              <w:left w:val="single" w:sz="12" w:space="0" w:color="0070C0"/>
              <w:bottom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1,2000</w:t>
            </w:r>
          </w:p>
        </w:tc>
      </w:tr>
      <w:tr w:rsidR="00E2653D" w:rsidRPr="00E2653D" w:rsidTr="00E2653D">
        <w:trPr>
          <w:trHeight w:val="493"/>
          <w:jc w:val="center"/>
        </w:trPr>
        <w:tc>
          <w:tcPr>
            <w:tcW w:w="1238" w:type="dxa"/>
            <w:shd w:val="clear" w:color="auto" w:fill="CCCCFF"/>
            <w:vAlign w:val="center"/>
          </w:tcPr>
          <w:p w:rsidR="0043581F" w:rsidRPr="00E2653D" w:rsidRDefault="0043581F" w:rsidP="0043581F">
            <w:pPr>
              <w:jc w:val="center"/>
              <w:rPr>
                <w:b/>
                <w:bCs/>
                <w:color w:val="000000"/>
                <w:szCs w:val="24"/>
              </w:rPr>
            </w:pPr>
            <w:r w:rsidRPr="00E2653D">
              <w:rPr>
                <w:b/>
                <w:bCs/>
                <w:color w:val="000000"/>
              </w:rPr>
              <w:t>5</w:t>
            </w:r>
          </w:p>
        </w:tc>
        <w:tc>
          <w:tcPr>
            <w:tcW w:w="1239" w:type="dxa"/>
            <w:tcBorders>
              <w:top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151</w:t>
            </w:r>
          </w:p>
        </w:tc>
        <w:tc>
          <w:tcPr>
            <w:tcW w:w="1239" w:type="dxa"/>
            <w:tcBorders>
              <w:top w:val="single" w:sz="12" w:space="0" w:color="0070C0"/>
              <w:left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0</w:t>
            </w:r>
          </w:p>
        </w:tc>
        <w:tc>
          <w:tcPr>
            <w:tcW w:w="1239" w:type="dxa"/>
            <w:tcBorders>
              <w:top w:val="single" w:sz="12" w:space="0" w:color="0070C0"/>
              <w:left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27</w:t>
            </w:r>
          </w:p>
        </w:tc>
        <w:tc>
          <w:tcPr>
            <w:tcW w:w="1239" w:type="dxa"/>
            <w:tcBorders>
              <w:top w:val="single" w:sz="12" w:space="0" w:color="0070C0"/>
              <w:left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124</w:t>
            </w:r>
          </w:p>
        </w:tc>
        <w:tc>
          <w:tcPr>
            <w:tcW w:w="1239" w:type="dxa"/>
            <w:tcBorders>
              <w:top w:val="single" w:sz="12" w:space="0" w:color="0070C0"/>
              <w:left w:val="single" w:sz="12" w:space="0" w:color="0070C0"/>
              <w:righ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151</w:t>
            </w:r>
          </w:p>
        </w:tc>
        <w:tc>
          <w:tcPr>
            <w:tcW w:w="1239" w:type="dxa"/>
            <w:tcBorders>
              <w:top w:val="single" w:sz="12" w:space="0" w:color="0070C0"/>
              <w:left w:val="single" w:sz="12" w:space="0" w:color="0070C0"/>
            </w:tcBorders>
            <w:shd w:val="clear" w:color="auto" w:fill="CCCCFF"/>
            <w:vAlign w:val="center"/>
          </w:tcPr>
          <w:p w:rsidR="0043581F" w:rsidRPr="00E2653D" w:rsidRDefault="0043581F" w:rsidP="0043581F">
            <w:pPr>
              <w:jc w:val="center"/>
              <w:rPr>
                <w:color w:val="000000"/>
                <w:szCs w:val="24"/>
              </w:rPr>
            </w:pPr>
            <w:r w:rsidRPr="00E2653D">
              <w:rPr>
                <w:color w:val="000000"/>
              </w:rPr>
              <w:t>1,2177</w:t>
            </w:r>
          </w:p>
        </w:tc>
      </w:tr>
    </w:tbl>
    <w:p w:rsidR="0043581F" w:rsidRDefault="0043581F" w:rsidP="0043581F">
      <w:pPr>
        <w:rPr>
          <w:rFonts w:eastAsiaTheme="minorEastAsia"/>
        </w:rPr>
      </w:pPr>
    </w:p>
    <w:p w:rsidR="00371506" w:rsidRDefault="008546FC" w:rsidP="00371506">
      <w:pPr>
        <w:spacing w:after="0"/>
        <w:rPr>
          <w:rFonts w:eastAsiaTheme="minorEastAsia"/>
        </w:rPr>
      </w:pPr>
      <w:r>
        <w:rPr>
          <w:rFonts w:eastAsiaTheme="minorEastAsia"/>
        </w:rPr>
        <w:tab/>
        <w:t xml:space="preserve">Para el cálculo global del coeficiente adiabático del aire se representan los valores </w:t>
      </w:r>
      <w:r w:rsidR="00E2653D">
        <w:rPr>
          <w:rFonts w:eastAsiaTheme="minorEastAsia"/>
        </w:rPr>
        <w:t xml:space="preserve">de </w:t>
      </w:r>
      <w:r w:rsidR="00B84721" w:rsidRPr="00E2653D">
        <w:rPr>
          <w:rFonts w:eastAsiaTheme="minorEastAsia"/>
          <w:bCs/>
        </w:rPr>
        <w:t>h</w:t>
      </w:r>
      <w:r w:rsidR="00B84721" w:rsidRPr="00E2653D">
        <w:rPr>
          <w:rFonts w:eastAsiaTheme="minorEastAsia"/>
          <w:bCs/>
          <w:vertAlign w:val="subscript"/>
        </w:rPr>
        <w:t>1</w:t>
      </w:r>
      <w:r w:rsidR="00B84721" w:rsidRPr="00E2653D">
        <w:rPr>
          <w:rFonts w:eastAsiaTheme="minorEastAsia"/>
          <w:bCs/>
        </w:rPr>
        <w:t>-h</w:t>
      </w:r>
      <w:r w:rsidR="00B84721" w:rsidRPr="00E2653D">
        <w:rPr>
          <w:rFonts w:eastAsiaTheme="minorEastAsia"/>
          <w:bCs/>
          <w:vertAlign w:val="subscript"/>
        </w:rPr>
        <w:t>3</w:t>
      </w:r>
      <w:r w:rsidR="00B84721" w:rsidRPr="00B84721">
        <w:rPr>
          <w:rFonts w:eastAsiaTheme="minorEastAsia"/>
          <w:bCs/>
        </w:rPr>
        <w:t xml:space="preserve"> </w:t>
      </w:r>
      <w:r w:rsidR="00B84721">
        <w:rPr>
          <w:rFonts w:eastAsiaTheme="minorEastAsia"/>
          <w:bCs/>
        </w:rPr>
        <w:t xml:space="preserve">en abscisas y en ordenadas lo valores de </w:t>
      </w:r>
      <w:r w:rsidR="00B84721" w:rsidRPr="00E2653D">
        <w:rPr>
          <w:rFonts w:eastAsiaTheme="minorEastAsia"/>
          <w:bCs/>
        </w:rPr>
        <w:t>h</w:t>
      </w:r>
      <w:r w:rsidR="00B84721" w:rsidRPr="00E2653D">
        <w:rPr>
          <w:rFonts w:eastAsiaTheme="minorEastAsia"/>
          <w:bCs/>
          <w:vertAlign w:val="subscript"/>
        </w:rPr>
        <w:t>1</w:t>
      </w:r>
      <w:r w:rsidR="00B84721" w:rsidRPr="00E2653D">
        <w:rPr>
          <w:rFonts w:eastAsiaTheme="minorEastAsia"/>
          <w:bCs/>
        </w:rPr>
        <w:t>-h</w:t>
      </w:r>
      <w:r w:rsidR="00B84721" w:rsidRPr="00E2653D">
        <w:rPr>
          <w:rFonts w:eastAsiaTheme="minorEastAsia"/>
          <w:bCs/>
          <w:vertAlign w:val="subscript"/>
        </w:rPr>
        <w:t>3</w:t>
      </w:r>
      <w:r w:rsidR="00B84721">
        <w:rPr>
          <w:rFonts w:eastAsiaTheme="minorEastAsia"/>
          <w:bCs/>
        </w:rPr>
        <w:t xml:space="preserve">. La pendiente se corresponde con el valor buscado.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m:t>
        </m:r>
        <m:box>
          <m:boxPr>
            <m:opEmu m:val="on"/>
            <m:ctrlPr>
              <w:rPr>
                <w:rFonts w:ascii="Cambria Math" w:eastAsiaTheme="minorEastAsia" w:hAnsi="Cambria Math"/>
                <w:i/>
              </w:rPr>
            </m:ctrlPr>
          </m:boxPr>
          <m:e>
            <m:box>
              <m:boxPr>
                <m:opEmu m:val="on"/>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r>
                      <w:rPr>
                        <w:rFonts w:ascii="Cambria Math" w:eastAsiaTheme="minorEastAsia" w:hAnsi="Cambria Math"/>
                      </w:rPr>
                      <m:t xml:space="preserve"> </m:t>
                    </m:r>
                  </m:e>
                </m:groupChr>
              </m:e>
            </m:box>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e>
        </m:box>
      </m:oMath>
      <w:r w:rsidR="00371506">
        <w:rPr>
          <w:rFonts w:eastAsiaTheme="minorEastAsia"/>
        </w:rPr>
        <w:t>)</w:t>
      </w:r>
      <w:r w:rsidR="00156251">
        <w:rPr>
          <w:rFonts w:eastAsiaTheme="minorEastAsia"/>
        </w:rPr>
        <w:tab/>
      </w:r>
      <w:r w:rsidR="00156251" w:rsidRPr="0015625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r>
          <m:rPr>
            <m:sty m:val="p"/>
          </m:rPr>
          <w:rPr>
            <w:rFonts w:ascii="Cambria Math" w:eastAsiaTheme="minorEastAsia" w:hAnsi="Cambria Math"/>
          </w:rPr>
          <m:t>1,2127</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m:t>
        </m:r>
      </m:oMath>
      <w:r w:rsidR="00156251" w:rsidRPr="00156251">
        <w:rPr>
          <w:rFonts w:eastAsiaTheme="minorEastAsia"/>
        </w:rPr>
        <w:t xml:space="preserve"> </w:t>
      </w:r>
    </w:p>
    <w:p w:rsidR="00371506" w:rsidRDefault="00371506" w:rsidP="00371506">
      <w:pPr>
        <w:spacing w:after="0"/>
        <w:rPr>
          <w:rFonts w:eastAsiaTheme="minorEastAsia"/>
          <w:bCs/>
        </w:rPr>
      </w:pPr>
    </w:p>
    <w:p w:rsidR="00B84721" w:rsidRDefault="00B84721" w:rsidP="00B84721">
      <w:pPr>
        <w:spacing w:after="0"/>
        <w:rPr>
          <w:rFonts w:eastAsiaTheme="minorEastAsia"/>
          <w:b/>
          <w:bCs/>
        </w:rPr>
      </w:pPr>
      <w:r>
        <w:rPr>
          <w:rFonts w:eastAsiaTheme="minorEastAsia"/>
          <w:bCs/>
        </w:rPr>
        <w:t>En nuestro caso al realizar el ajuste por mínimos cuadrados obtenemos un valor</w:t>
      </w:r>
      <w:r w:rsidR="00371506">
        <w:rPr>
          <w:rFonts w:eastAsiaTheme="minorEastAsia"/>
          <w:bCs/>
        </w:rPr>
        <w:t xml:space="preserve"> del coeficiente de 1,2127 y un </w:t>
      </w:r>
      <w:r w:rsidR="00377F76">
        <w:rPr>
          <w:rFonts w:eastAsiaTheme="minorEastAsia"/>
          <w:bCs/>
        </w:rPr>
        <w:t>coeficiente de regresión</w:t>
      </w:r>
      <w:r w:rsidR="00371506">
        <w:rPr>
          <w:rFonts w:eastAsiaTheme="minorEastAsia"/>
          <w:bCs/>
        </w:rPr>
        <w:t xml:space="preserve"> de </w:t>
      </w:r>
      <w:r w:rsidR="00E2653D" w:rsidRPr="00E2653D">
        <w:rPr>
          <w:rFonts w:eastAsiaTheme="minorEastAsia"/>
          <w:bCs/>
        </w:rPr>
        <w:t>0,9786</w:t>
      </w:r>
      <w:r w:rsidR="00371506">
        <w:rPr>
          <w:rFonts w:eastAsiaTheme="minorEastAsia"/>
          <w:b/>
          <w:bCs/>
        </w:rPr>
        <w:t>.</w:t>
      </w:r>
    </w:p>
    <w:p w:rsidR="00FB5949" w:rsidRPr="00FB5949" w:rsidRDefault="00FB5949" w:rsidP="00FB5949">
      <w:pPr>
        <w:jc w:val="both"/>
        <w:rPr>
          <w:rFonts w:ascii="Calibri" w:eastAsia="Times New Roman" w:hAnsi="Calibri" w:cs="Times New Roman"/>
          <w:color w:val="000000"/>
          <w:sz w:val="24"/>
          <w:szCs w:val="24"/>
          <w:lang w:eastAsia="es-ES_tradnl"/>
        </w:rPr>
      </w:pPr>
      <w:r>
        <w:rPr>
          <w:rFonts w:eastAsiaTheme="minorEastAsia"/>
        </w:rPr>
        <w:t xml:space="preserve">Para calcular el error: </w:t>
      </w:r>
      <m:oMath>
        <m:box>
          <m:boxPr>
            <m:opEmu m:val="on"/>
            <m:ctrlPr>
              <w:rPr>
                <w:rFonts w:ascii="Cambria Math" w:hAnsi="Cambria Math"/>
              </w:rPr>
            </m:ctrlPr>
          </m:boxPr>
          <m:e>
            <m:eqArr>
              <m:eqArrPr>
                <m:ctrlPr>
                  <w:rPr>
                    <w:rFonts w:ascii="Cambria Math" w:hAnsi="Cambria Math"/>
                  </w:rPr>
                </m:ctrlPr>
              </m:eqArrPr>
              <m:e>
                <m:r>
                  <m:rPr>
                    <m:sty m:val="p"/>
                  </m:rPr>
                  <w:rPr>
                    <w:rFonts w:ascii="Cambria Math" w:hAnsi="Cambria Math"/>
                  </w:rPr>
                  <m:t xml:space="preserve">    </m:t>
                </m:r>
              </m:e>
              <m:e>
                <m:r>
                  <m:rPr>
                    <m:sty m:val="p"/>
                  </m:rPr>
                  <w:rPr>
                    <w:rFonts w:ascii="Cambria Math" w:hAnsi="Cambria Math"/>
                  </w:rPr>
                  <m:t xml:space="preserve">   ∆γ</m:t>
                </m:r>
              </m:e>
            </m:eqArr>
          </m:e>
        </m:box>
        <m:r>
          <m:rPr>
            <m:sty m:val="p"/>
          </m:rPr>
          <w:rPr>
            <w:rFonts w:ascii="Cambria Math" w:hAnsi="Cambria Math"/>
          </w:rPr>
          <m:t>=</m:t>
        </m:r>
        <m:rad>
          <m:radPr>
            <m:degHide m:val="on"/>
            <m:ctrlPr>
              <w:rPr>
                <w:rFonts w:ascii="Cambria Math" w:hAnsi="Cambria Math"/>
              </w:rPr>
            </m:ctrlPr>
          </m:radPr>
          <m:deg/>
          <m:e>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i</m:t>
                    </m:r>
                  </m:sub>
                  <m:sup>
                    <m:r>
                      <m:rPr>
                        <m:sty m:val="p"/>
                      </m:rPr>
                      <w:rPr>
                        <w:rFonts w:ascii="Cambria Math" w:hAnsi="Cambria Math"/>
                      </w:rPr>
                      <m:t xml:space="preserve"> </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r</m:t>
                                </m:r>
                              </m:e>
                            </m:acc>
                          </m:e>
                        </m:d>
                      </m:e>
                      <m:sup>
                        <m:r>
                          <m:rPr>
                            <m:sty m:val="p"/>
                          </m:rPr>
                          <w:rPr>
                            <w:rFonts w:ascii="Cambria Math" w:hAnsi="Cambria Math"/>
                          </w:rPr>
                          <m:t>2</m:t>
                        </m:r>
                      </m:sup>
                    </m:sSup>
                  </m:e>
                </m:nary>
              </m:num>
              <m:den>
                <m:r>
                  <m:rPr>
                    <m:sty m:val="p"/>
                  </m:rPr>
                  <w:rPr>
                    <w:rFonts w:ascii="Cambria Math" w:hAnsi="Cambria Math"/>
                  </w:rPr>
                  <m:t>n·(n-1)</m:t>
                </m:r>
              </m:den>
            </m:f>
          </m:e>
        </m:rad>
        <m:r>
          <m:rPr>
            <m:sty m:val="p"/>
          </m:rPr>
          <w:rPr>
            <w:rFonts w:ascii="Cambria Math" w:hAnsi="Cambria Math"/>
          </w:rPr>
          <m:t>=0,0378=0,0</m:t>
        </m:r>
        <m:r>
          <m:rPr>
            <m:sty m:val="p"/>
          </m:rPr>
          <w:rPr>
            <w:rFonts w:ascii="Cambria Math" w:hAnsi="Cambria Math"/>
          </w:rPr>
          <m:t>4</m:t>
        </m:r>
      </m:oMath>
    </w:p>
    <w:p w:rsidR="00FB5949" w:rsidRPr="00FB5949" w:rsidRDefault="00FB5949" w:rsidP="00FB5949">
      <w:pPr>
        <w:jc w:val="both"/>
        <w:rPr>
          <w:rFonts w:eastAsiaTheme="minorEastAsia"/>
          <w:b/>
        </w:rPr>
      </w:pPr>
      <w:r w:rsidRPr="00A21201">
        <w:rPr>
          <w:rFonts w:eastAsiaTheme="minorEastAsia"/>
          <w:b/>
        </w:rPr>
        <w:t xml:space="preserve">Por tanto el coeficiente adiabático es </w:t>
      </w:r>
      <m:oMath>
        <m:r>
          <m:rPr>
            <m:sty m:val="bi"/>
          </m:rPr>
          <w:rPr>
            <w:rFonts w:ascii="Cambria Math" w:eastAsiaTheme="minorEastAsia" w:hAnsi="Cambria Math"/>
          </w:rPr>
          <m:t>1,</m:t>
        </m:r>
        <m:r>
          <m:rPr>
            <m:sty m:val="bi"/>
          </m:rPr>
          <w:rPr>
            <w:rFonts w:ascii="Cambria Math" w:eastAsiaTheme="minorEastAsia" w:hAnsi="Cambria Math"/>
          </w:rPr>
          <m:t>21</m:t>
        </m:r>
        <m:r>
          <m:rPr>
            <m:sty m:val="bi"/>
          </m:rPr>
          <w:rPr>
            <w:rFonts w:ascii="Cambria Math" w:eastAsiaTheme="minorEastAsia" w:hAnsi="Cambria Math"/>
          </w:rPr>
          <m:t>∓0,0</m:t>
        </m:r>
        <m:r>
          <m:rPr>
            <m:sty m:val="bi"/>
          </m:rPr>
          <w:rPr>
            <w:rFonts w:ascii="Cambria Math" w:eastAsiaTheme="minorEastAsia" w:hAnsi="Cambria Math"/>
          </w:rPr>
          <m:t>4</m:t>
        </m:r>
      </m:oMath>
    </w:p>
    <w:p w:rsidR="00B84721" w:rsidRPr="00B84721" w:rsidRDefault="00B84721" w:rsidP="00B84721">
      <w:pPr>
        <w:spacing w:after="0"/>
        <w:rPr>
          <w:rFonts w:eastAsiaTheme="minorEastAsia"/>
          <w:bCs/>
        </w:rPr>
      </w:pPr>
    </w:p>
    <w:p w:rsidR="00871C4F" w:rsidRPr="00BB09CA" w:rsidRDefault="00371506" w:rsidP="00BB09CA">
      <w:pPr>
        <w:jc w:val="center"/>
        <w:rPr>
          <w:lang w:val="es-ES"/>
        </w:rPr>
      </w:pPr>
      <w:r w:rsidRPr="00371506">
        <w:rPr>
          <w:noProof/>
          <w:lang w:eastAsia="es-ES_tradnl"/>
        </w:rPr>
        <w:drawing>
          <wp:inline distT="0" distB="0" distL="0" distR="0">
            <wp:extent cx="4867275" cy="2600325"/>
            <wp:effectExtent l="19050" t="0" r="9525"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871C4F" w:rsidRPr="00BB09CA" w:rsidSect="00DD774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563" w:rsidRDefault="00AE7563" w:rsidP="00E2653D">
      <w:pPr>
        <w:spacing w:after="0" w:line="240" w:lineRule="auto"/>
      </w:pPr>
      <w:r>
        <w:separator/>
      </w:r>
    </w:p>
  </w:endnote>
  <w:endnote w:type="continuationSeparator" w:id="0">
    <w:p w:rsidR="00AE7563" w:rsidRDefault="00AE7563" w:rsidP="00E26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563" w:rsidRDefault="00AE7563" w:rsidP="00E2653D">
      <w:pPr>
        <w:spacing w:after="0" w:line="240" w:lineRule="auto"/>
      </w:pPr>
      <w:r>
        <w:separator/>
      </w:r>
    </w:p>
  </w:footnote>
  <w:footnote w:type="continuationSeparator" w:id="0">
    <w:p w:rsidR="00AE7563" w:rsidRDefault="00AE7563" w:rsidP="00E26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46357"/>
    <w:multiLevelType w:val="hybridMultilevel"/>
    <w:tmpl w:val="8E2CBDAE"/>
    <w:lvl w:ilvl="0" w:tplc="2C0A000D">
      <w:start w:val="1"/>
      <w:numFmt w:val="bullet"/>
      <w:lvlText w:val=""/>
      <w:lvlJc w:val="left"/>
      <w:pPr>
        <w:ind w:left="1425" w:hanging="360"/>
      </w:pPr>
      <w:rPr>
        <w:rFonts w:ascii="Wingdings" w:hAnsi="Wingdings" w:hint="default"/>
      </w:rPr>
    </w:lvl>
    <w:lvl w:ilvl="1" w:tplc="040A0003" w:tentative="1">
      <w:start w:val="1"/>
      <w:numFmt w:val="bullet"/>
      <w:lvlText w:val="o"/>
      <w:lvlJc w:val="left"/>
      <w:pPr>
        <w:ind w:left="2145" w:hanging="360"/>
      </w:pPr>
      <w:rPr>
        <w:rFonts w:ascii="Courier New" w:hAnsi="Courier New" w:cs="Courier New" w:hint="default"/>
      </w:rPr>
    </w:lvl>
    <w:lvl w:ilvl="2" w:tplc="040A0005" w:tentative="1">
      <w:start w:val="1"/>
      <w:numFmt w:val="bullet"/>
      <w:lvlText w:val=""/>
      <w:lvlJc w:val="left"/>
      <w:pPr>
        <w:ind w:left="2865" w:hanging="360"/>
      </w:pPr>
      <w:rPr>
        <w:rFonts w:ascii="Wingdings" w:hAnsi="Wingdings" w:hint="default"/>
      </w:rPr>
    </w:lvl>
    <w:lvl w:ilvl="3" w:tplc="040A0001" w:tentative="1">
      <w:start w:val="1"/>
      <w:numFmt w:val="bullet"/>
      <w:lvlText w:val=""/>
      <w:lvlJc w:val="left"/>
      <w:pPr>
        <w:ind w:left="3585" w:hanging="360"/>
      </w:pPr>
      <w:rPr>
        <w:rFonts w:ascii="Symbol" w:hAnsi="Symbol" w:hint="default"/>
      </w:rPr>
    </w:lvl>
    <w:lvl w:ilvl="4" w:tplc="040A0003" w:tentative="1">
      <w:start w:val="1"/>
      <w:numFmt w:val="bullet"/>
      <w:lvlText w:val="o"/>
      <w:lvlJc w:val="left"/>
      <w:pPr>
        <w:ind w:left="4305" w:hanging="360"/>
      </w:pPr>
      <w:rPr>
        <w:rFonts w:ascii="Courier New" w:hAnsi="Courier New" w:cs="Courier New" w:hint="default"/>
      </w:rPr>
    </w:lvl>
    <w:lvl w:ilvl="5" w:tplc="040A0005" w:tentative="1">
      <w:start w:val="1"/>
      <w:numFmt w:val="bullet"/>
      <w:lvlText w:val=""/>
      <w:lvlJc w:val="left"/>
      <w:pPr>
        <w:ind w:left="5025" w:hanging="360"/>
      </w:pPr>
      <w:rPr>
        <w:rFonts w:ascii="Wingdings" w:hAnsi="Wingdings" w:hint="default"/>
      </w:rPr>
    </w:lvl>
    <w:lvl w:ilvl="6" w:tplc="040A0001" w:tentative="1">
      <w:start w:val="1"/>
      <w:numFmt w:val="bullet"/>
      <w:lvlText w:val=""/>
      <w:lvlJc w:val="left"/>
      <w:pPr>
        <w:ind w:left="5745" w:hanging="360"/>
      </w:pPr>
      <w:rPr>
        <w:rFonts w:ascii="Symbol" w:hAnsi="Symbol" w:hint="default"/>
      </w:rPr>
    </w:lvl>
    <w:lvl w:ilvl="7" w:tplc="040A0003" w:tentative="1">
      <w:start w:val="1"/>
      <w:numFmt w:val="bullet"/>
      <w:lvlText w:val="o"/>
      <w:lvlJc w:val="left"/>
      <w:pPr>
        <w:ind w:left="6465" w:hanging="360"/>
      </w:pPr>
      <w:rPr>
        <w:rFonts w:ascii="Courier New" w:hAnsi="Courier New" w:cs="Courier New" w:hint="default"/>
      </w:rPr>
    </w:lvl>
    <w:lvl w:ilvl="8" w:tplc="040A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D1870"/>
    <w:rsid w:val="00004046"/>
    <w:rsid w:val="00052EE5"/>
    <w:rsid w:val="000C5CC5"/>
    <w:rsid w:val="00156251"/>
    <w:rsid w:val="00196901"/>
    <w:rsid w:val="001D7135"/>
    <w:rsid w:val="001E7337"/>
    <w:rsid w:val="002A3351"/>
    <w:rsid w:val="002C5821"/>
    <w:rsid w:val="0033597A"/>
    <w:rsid w:val="003511CC"/>
    <w:rsid w:val="00371506"/>
    <w:rsid w:val="00377F76"/>
    <w:rsid w:val="003B2E92"/>
    <w:rsid w:val="004201D1"/>
    <w:rsid w:val="0043581F"/>
    <w:rsid w:val="00471F82"/>
    <w:rsid w:val="005054C3"/>
    <w:rsid w:val="00603A04"/>
    <w:rsid w:val="006756F5"/>
    <w:rsid w:val="00695BBC"/>
    <w:rsid w:val="00701212"/>
    <w:rsid w:val="007754CC"/>
    <w:rsid w:val="00801016"/>
    <w:rsid w:val="008546FC"/>
    <w:rsid w:val="00871C4F"/>
    <w:rsid w:val="008F194B"/>
    <w:rsid w:val="009D1870"/>
    <w:rsid w:val="009E537C"/>
    <w:rsid w:val="00AE7563"/>
    <w:rsid w:val="00AF7E0E"/>
    <w:rsid w:val="00B84721"/>
    <w:rsid w:val="00B85FC8"/>
    <w:rsid w:val="00BB09CA"/>
    <w:rsid w:val="00BE1439"/>
    <w:rsid w:val="00C04BEC"/>
    <w:rsid w:val="00C4235E"/>
    <w:rsid w:val="00D80C28"/>
    <w:rsid w:val="00DD7746"/>
    <w:rsid w:val="00DE7602"/>
    <w:rsid w:val="00DF6F2A"/>
    <w:rsid w:val="00E2653D"/>
    <w:rsid w:val="00EA442F"/>
    <w:rsid w:val="00EC332C"/>
    <w:rsid w:val="00F61F18"/>
    <w:rsid w:val="00F73434"/>
    <w:rsid w:val="00FB594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442F"/>
    <w:rPr>
      <w:color w:val="808080"/>
    </w:rPr>
  </w:style>
  <w:style w:type="paragraph" w:styleId="Textodeglobo">
    <w:name w:val="Balloon Text"/>
    <w:basedOn w:val="Normal"/>
    <w:link w:val="TextodegloboCar"/>
    <w:uiPriority w:val="99"/>
    <w:semiHidden/>
    <w:unhideWhenUsed/>
    <w:rsid w:val="00EA44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42F"/>
    <w:rPr>
      <w:rFonts w:ascii="Tahoma" w:hAnsi="Tahoma" w:cs="Tahoma"/>
      <w:sz w:val="16"/>
      <w:szCs w:val="16"/>
    </w:rPr>
  </w:style>
  <w:style w:type="paragraph" w:styleId="Prrafodelista">
    <w:name w:val="List Paragraph"/>
    <w:basedOn w:val="Normal"/>
    <w:uiPriority w:val="34"/>
    <w:qFormat/>
    <w:rsid w:val="00004046"/>
    <w:pPr>
      <w:ind w:left="720"/>
      <w:contextualSpacing/>
    </w:pPr>
  </w:style>
  <w:style w:type="table" w:styleId="Tablaconcuadrcula">
    <w:name w:val="Table Grid"/>
    <w:basedOn w:val="Tablanormal"/>
    <w:uiPriority w:val="59"/>
    <w:rsid w:val="00435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265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2653D"/>
  </w:style>
  <w:style w:type="paragraph" w:styleId="Piedepgina">
    <w:name w:val="footer"/>
    <w:basedOn w:val="Normal"/>
    <w:link w:val="PiedepginaCar"/>
    <w:uiPriority w:val="99"/>
    <w:semiHidden/>
    <w:unhideWhenUsed/>
    <w:rsid w:val="00E265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653D"/>
  </w:style>
  <w:style w:type="paragraph" w:styleId="NormalWeb">
    <w:name w:val="Normal (Web)"/>
    <w:basedOn w:val="Normal"/>
    <w:uiPriority w:val="99"/>
    <w:semiHidden/>
    <w:unhideWhenUsed/>
    <w:rsid w:val="00E2653D"/>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1432970866">
      <w:bodyDiv w:val="1"/>
      <w:marLeft w:val="0"/>
      <w:marRight w:val="0"/>
      <w:marTop w:val="0"/>
      <w:marBottom w:val="0"/>
      <w:divBdr>
        <w:top w:val="none" w:sz="0" w:space="0" w:color="auto"/>
        <w:left w:val="none" w:sz="0" w:space="0" w:color="auto"/>
        <w:bottom w:val="none" w:sz="0" w:space="0" w:color="auto"/>
        <w:right w:val="none" w:sz="0" w:space="0" w:color="auto"/>
      </w:divBdr>
    </w:div>
    <w:div w:id="21357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dor\Escritorio\TERMO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_tradnl"/>
  <c:roundedCorners val="1"/>
  <c:chart>
    <c:title>
      <c:tx>
        <c:rich>
          <a:bodyPr/>
          <a:lstStyle/>
          <a:p>
            <a:pPr>
              <a:defRPr sz="1600">
                <a:solidFill>
                  <a:srgbClr val="0070C0"/>
                </a:solidFill>
              </a:defRPr>
            </a:pPr>
            <a:r>
              <a:rPr lang="es-ES_tradnl" sz="1600">
                <a:solidFill>
                  <a:srgbClr val="0070C0"/>
                </a:solidFill>
              </a:rPr>
              <a:t>COEFICIENTE ADIABÁTICO DEL AIRE</a:t>
            </a:r>
          </a:p>
        </c:rich>
      </c:tx>
      <c:layout>
        <c:manualLayout>
          <c:xMode val="edge"/>
          <c:yMode val="edge"/>
          <c:x val="0.17475599086699592"/>
          <c:y val="5.7971014492753624E-2"/>
        </c:manualLayout>
      </c:layout>
    </c:title>
    <c:plotArea>
      <c:layout>
        <c:manualLayout>
          <c:layoutTarget val="inner"/>
          <c:xMode val="edge"/>
          <c:yMode val="edge"/>
          <c:x val="0.1284160211680857"/>
          <c:y val="0.25925465838509315"/>
          <c:w val="0.74169750122698164"/>
          <c:h val="0.57507605027632402"/>
        </c:manualLayout>
      </c:layout>
      <c:scatterChart>
        <c:scatterStyle val="lineMarker"/>
        <c:ser>
          <c:idx val="0"/>
          <c:order val="0"/>
          <c:spPr>
            <a:ln w="28575">
              <a:noFill/>
            </a:ln>
          </c:spPr>
          <c:trendline>
            <c:trendlineType val="linear"/>
            <c:intercept val="0"/>
            <c:dispRSqr val="1"/>
            <c:dispEq val="1"/>
            <c:trendlineLbl>
              <c:layout>
                <c:manualLayout>
                  <c:x val="-0.17492627445959499"/>
                  <c:y val="-2.7370600414078766E-2"/>
                </c:manualLayout>
              </c:layout>
              <c:tx>
                <c:rich>
                  <a:bodyPr/>
                  <a:lstStyle/>
                  <a:p>
                    <a:pPr>
                      <a:defRPr sz="1100" b="1"/>
                    </a:pPr>
                    <a:r>
                      <a:rPr lang="en-US" baseline="0"/>
                      <a:t>h</a:t>
                    </a:r>
                    <a:r>
                      <a:rPr lang="en-US" baseline="-25000"/>
                      <a:t>1</a:t>
                    </a:r>
                    <a:r>
                      <a:rPr lang="en-US" baseline="0"/>
                      <a:t> = 1,2127·(h</a:t>
                    </a:r>
                    <a:r>
                      <a:rPr lang="en-US" baseline="-25000"/>
                      <a:t>1</a:t>
                    </a:r>
                    <a:r>
                      <a:rPr lang="en-US" baseline="0"/>
                      <a:t>-h</a:t>
                    </a:r>
                    <a:r>
                      <a:rPr lang="en-US" baseline="-25000"/>
                      <a:t>3</a:t>
                    </a:r>
                    <a:r>
                      <a:rPr lang="en-US" baseline="0"/>
                      <a:t>)
R² = 0,9772</a:t>
                    </a:r>
                    <a:endParaRPr lang="en-US"/>
                  </a:p>
                </c:rich>
              </c:tx>
              <c:numFmt formatCode="General" sourceLinked="0"/>
            </c:trendlineLbl>
          </c:trendline>
          <c:xVal>
            <c:numRef>
              <c:f>'1a'!$F$3:$F$8</c:f>
              <c:numCache>
                <c:formatCode>General</c:formatCode>
                <c:ptCount val="6"/>
                <c:pt idx="0">
                  <c:v>98</c:v>
                </c:pt>
                <c:pt idx="1">
                  <c:v>68</c:v>
                </c:pt>
                <c:pt idx="2">
                  <c:v>131</c:v>
                </c:pt>
                <c:pt idx="3">
                  <c:v>45</c:v>
                </c:pt>
                <c:pt idx="4">
                  <c:v>124</c:v>
                </c:pt>
                <c:pt idx="5">
                  <c:v>44</c:v>
                </c:pt>
              </c:numCache>
            </c:numRef>
          </c:xVal>
          <c:yVal>
            <c:numRef>
              <c:f>'1a'!$G$3:$G$8</c:f>
              <c:numCache>
                <c:formatCode>General</c:formatCode>
                <c:ptCount val="6"/>
                <c:pt idx="0">
                  <c:v>112</c:v>
                </c:pt>
                <c:pt idx="1">
                  <c:v>96</c:v>
                </c:pt>
                <c:pt idx="2">
                  <c:v>157</c:v>
                </c:pt>
                <c:pt idx="3">
                  <c:v>54</c:v>
                </c:pt>
                <c:pt idx="4">
                  <c:v>151</c:v>
                </c:pt>
                <c:pt idx="5">
                  <c:v>52</c:v>
                </c:pt>
              </c:numCache>
            </c:numRef>
          </c:yVal>
        </c:ser>
        <c:axId val="110033920"/>
        <c:axId val="112886144"/>
      </c:scatterChart>
      <c:valAx>
        <c:axId val="110033920"/>
        <c:scaling>
          <c:orientation val="minMax"/>
        </c:scaling>
        <c:axPos val="b"/>
        <c:title>
          <c:tx>
            <c:rich>
              <a:bodyPr/>
              <a:lstStyle/>
              <a:p>
                <a:pPr>
                  <a:defRPr/>
                </a:pPr>
                <a:r>
                  <a:rPr lang="es-ES_tradnl"/>
                  <a:t>h1-h3</a:t>
                </a:r>
              </a:p>
            </c:rich>
          </c:tx>
          <c:layout>
            <c:manualLayout>
              <c:xMode val="edge"/>
              <c:yMode val="edge"/>
              <c:x val="0.45870921622602029"/>
              <c:y val="0.90907875645979253"/>
            </c:manualLayout>
          </c:layout>
        </c:title>
        <c:numFmt formatCode="General" sourceLinked="1"/>
        <c:tickLblPos val="nextTo"/>
        <c:crossAx val="112886144"/>
        <c:crosses val="autoZero"/>
        <c:crossBetween val="midCat"/>
      </c:valAx>
      <c:valAx>
        <c:axId val="112886144"/>
        <c:scaling>
          <c:orientation val="minMax"/>
        </c:scaling>
        <c:axPos val="l"/>
        <c:majorGridlines>
          <c:spPr>
            <a:ln w="3175"/>
          </c:spPr>
        </c:majorGridlines>
        <c:title>
          <c:tx>
            <c:rich>
              <a:bodyPr rot="0" vert="horz"/>
              <a:lstStyle/>
              <a:p>
                <a:pPr>
                  <a:defRPr/>
                </a:pPr>
                <a:r>
                  <a:rPr lang="es-ES_tradnl"/>
                  <a:t>h1-h2</a:t>
                </a:r>
              </a:p>
            </c:rich>
          </c:tx>
          <c:layout>
            <c:manualLayout>
              <c:xMode val="edge"/>
              <c:yMode val="edge"/>
              <c:x val="5.155837227663615E-2"/>
              <c:y val="0.14755155605549339"/>
            </c:manualLayout>
          </c:layout>
        </c:title>
        <c:numFmt formatCode="General" sourceLinked="1"/>
        <c:tickLblPos val="nextTo"/>
        <c:crossAx val="110033920"/>
        <c:crosses val="autoZero"/>
        <c:crossBetween val="midCat"/>
      </c:valAx>
    </c:plotArea>
    <c:plotVisOnly val="1"/>
  </c:chart>
  <c:spPr>
    <a:ln w="25400">
      <a:solidFill>
        <a:srgbClr val="0070C0"/>
      </a:solid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784</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Colossus User</cp:lastModifiedBy>
  <cp:revision>5</cp:revision>
  <dcterms:created xsi:type="dcterms:W3CDTF">2011-11-10T00:44:00Z</dcterms:created>
  <dcterms:modified xsi:type="dcterms:W3CDTF">2011-11-18T19:04:00Z</dcterms:modified>
</cp:coreProperties>
</file>